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50570" w14:textId="2AD506DD" w:rsidR="00D22041" w:rsidRDefault="00D22041" w:rsidP="00D22041">
      <w:pPr>
        <w:spacing w:line="261" w:lineRule="auto"/>
        <w:ind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Na temelju članka 31. Statuta Općine Peteranec („Službeni glasnik Koprivničko-križevačke županije“ broj 6/13., 4/18., 4/20., 4/21., 26/23. – pročišćeni tekst i 7/25), Općinsko vijeće Općine Peteranec na 6. sjednici održanoj </w:t>
      </w:r>
      <w:r w:rsidR="005A035D">
        <w:rPr>
          <w:rFonts w:ascii="Bookman Old Style" w:hAnsi="Bookman Old Style" w:cs="Times New Roman"/>
          <w:sz w:val="22"/>
          <w:szCs w:val="22"/>
        </w:rPr>
        <w:t>16</w:t>
      </w:r>
      <w:r>
        <w:rPr>
          <w:rFonts w:ascii="Bookman Old Style" w:hAnsi="Bookman Old Style" w:cs="Times New Roman"/>
          <w:sz w:val="22"/>
          <w:szCs w:val="22"/>
        </w:rPr>
        <w:t>. prosinca 2025. godine donijelo je</w:t>
      </w:r>
    </w:p>
    <w:p w14:paraId="053E655E" w14:textId="77777777" w:rsidR="00D22041" w:rsidRDefault="00D22041" w:rsidP="00D22041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45C38C28" w14:textId="77777777" w:rsidR="00D22041" w:rsidRDefault="00D22041" w:rsidP="00D22041">
      <w:pPr>
        <w:spacing w:line="32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9E4BF88" w14:textId="77777777" w:rsidR="00D22041" w:rsidRDefault="00D22041" w:rsidP="00D22041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ODLUKU</w:t>
      </w:r>
    </w:p>
    <w:p w14:paraId="006CF040" w14:textId="179F0A03" w:rsidR="00D22041" w:rsidRDefault="00D22041" w:rsidP="00D22041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 usvajanju Strategije upravljanja imovinom u vlasništvu Općine Peteranec za razdoblje od 2025.-2031. godine</w:t>
      </w:r>
    </w:p>
    <w:p w14:paraId="6E498789" w14:textId="77777777" w:rsidR="00D22041" w:rsidRDefault="00D22041" w:rsidP="00D22041">
      <w:pPr>
        <w:spacing w:line="20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5E18D22" w14:textId="77777777" w:rsidR="00D22041" w:rsidRDefault="00D22041" w:rsidP="00D22041">
      <w:pPr>
        <w:spacing w:line="20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8F001D5" w14:textId="77777777" w:rsidR="00D22041" w:rsidRDefault="00D22041" w:rsidP="00D22041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I.</w:t>
      </w:r>
    </w:p>
    <w:p w14:paraId="7A830FDB" w14:textId="77777777" w:rsidR="00D22041" w:rsidRDefault="00D22041" w:rsidP="00D22041">
      <w:pPr>
        <w:spacing w:line="31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1044FB4" w14:textId="36458496" w:rsidR="00D22041" w:rsidRDefault="00D22041" w:rsidP="00D22041">
      <w:pPr>
        <w:spacing w:line="0" w:lineRule="atLeast"/>
        <w:ind w:right="20" w:firstLine="720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Ovom Odlukom usvaja se Strategija upravljanja imovinom u vlasništvu Općine Peteranec  za razdoblje 2025.-2031.  godine (u daljnjem tekstu: Strategija).</w:t>
      </w:r>
    </w:p>
    <w:p w14:paraId="6D726BB4" w14:textId="77777777" w:rsidR="00D22041" w:rsidRDefault="00D22041" w:rsidP="00D22041">
      <w:pPr>
        <w:spacing w:line="27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599AC4E3" w14:textId="77777777" w:rsidR="00D22041" w:rsidRDefault="00D22041" w:rsidP="00D22041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II.</w:t>
      </w:r>
    </w:p>
    <w:p w14:paraId="218012E8" w14:textId="77777777" w:rsidR="00D22041" w:rsidRDefault="00D22041" w:rsidP="00D22041">
      <w:pPr>
        <w:spacing w:line="269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49620AF9" w14:textId="36D1111A" w:rsidR="00D22041" w:rsidRDefault="00D22041" w:rsidP="00D22041">
      <w:pPr>
        <w:spacing w:line="0" w:lineRule="atLeast"/>
        <w:ind w:left="700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Strategija iz točke I. ove Odluke nalazi se u Prilogu i njezin je sastavni dio.</w:t>
      </w:r>
    </w:p>
    <w:p w14:paraId="514BD13E" w14:textId="77777777" w:rsidR="00D22041" w:rsidRDefault="00D22041" w:rsidP="00D22041">
      <w:pPr>
        <w:spacing w:line="310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64A708BE" w14:textId="77777777" w:rsidR="00D22041" w:rsidRDefault="00D22041" w:rsidP="00D22041">
      <w:pPr>
        <w:spacing w:line="0" w:lineRule="atLeast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III.</w:t>
      </w:r>
    </w:p>
    <w:p w14:paraId="77075D54" w14:textId="77777777" w:rsidR="00D22041" w:rsidRDefault="00D22041" w:rsidP="00D22041">
      <w:pPr>
        <w:spacing w:line="287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70944677" w14:textId="77777777" w:rsidR="00D22041" w:rsidRDefault="00D22041" w:rsidP="00D22041">
      <w:pPr>
        <w:spacing w:line="235" w:lineRule="auto"/>
        <w:ind w:right="20" w:firstLine="708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Ova Odluka stupa na snagu danom donošenja, a objavit će se na internet stranicama Općine Peteranec </w:t>
      </w:r>
      <w:hyperlink r:id="rId6" w:history="1">
        <w:r>
          <w:rPr>
            <w:rStyle w:val="Hiperveza"/>
            <w:rFonts w:ascii="Bookman Old Style" w:hAnsi="Bookman Old Style" w:cs="Times New Roman"/>
            <w:sz w:val="22"/>
            <w:szCs w:val="22"/>
          </w:rPr>
          <w:t>www.peteranec.hr</w:t>
        </w:r>
      </w:hyperlink>
      <w:r>
        <w:rPr>
          <w:rFonts w:ascii="Bookman Old Style" w:hAnsi="Bookman Old Style" w:cs="Times New Roman"/>
          <w:sz w:val="22"/>
          <w:szCs w:val="22"/>
        </w:rPr>
        <w:t>.</w:t>
      </w:r>
    </w:p>
    <w:p w14:paraId="03603341" w14:textId="77777777" w:rsidR="00D22041" w:rsidRDefault="00D22041" w:rsidP="00D22041">
      <w:pPr>
        <w:spacing w:line="348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1C9AE702" w14:textId="77777777" w:rsidR="00D22041" w:rsidRDefault="00D22041" w:rsidP="00D22041">
      <w:pPr>
        <w:spacing w:line="0" w:lineRule="atLeast"/>
        <w:ind w:right="20"/>
        <w:jc w:val="center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>OPĆINSKO VIJEĆE OPĆINE PETERANEC</w:t>
      </w:r>
    </w:p>
    <w:p w14:paraId="7D9CF983" w14:textId="77777777" w:rsidR="00D22041" w:rsidRDefault="00D22041" w:rsidP="00D22041">
      <w:pPr>
        <w:spacing w:line="336" w:lineRule="exact"/>
        <w:rPr>
          <w:rFonts w:ascii="Bookman Old Style" w:eastAsia="Times New Roman" w:hAnsi="Bookman Old Style" w:cs="Times New Roman"/>
          <w:sz w:val="22"/>
          <w:szCs w:val="22"/>
        </w:rPr>
      </w:pPr>
    </w:p>
    <w:p w14:paraId="0A1D02DD" w14:textId="2C0D2535" w:rsidR="00D22041" w:rsidRDefault="00D22041" w:rsidP="00D22041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KLASA: </w:t>
      </w:r>
      <w:r w:rsidR="005A035D">
        <w:rPr>
          <w:rFonts w:ascii="Bookman Old Style" w:hAnsi="Bookman Old Style" w:cs="Times New Roman"/>
          <w:sz w:val="22"/>
          <w:szCs w:val="22"/>
        </w:rPr>
        <w:t>406-08/25-01/19</w:t>
      </w:r>
    </w:p>
    <w:p w14:paraId="16039DE5" w14:textId="14AA86E5" w:rsidR="00D22041" w:rsidRDefault="00D22041" w:rsidP="00D22041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URBROJ: </w:t>
      </w:r>
      <w:r w:rsidR="005A035D">
        <w:rPr>
          <w:rFonts w:ascii="Bookman Old Style" w:hAnsi="Bookman Old Style" w:cs="Times New Roman"/>
          <w:sz w:val="22"/>
          <w:szCs w:val="22"/>
        </w:rPr>
        <w:t>2137-12-02-25-2</w:t>
      </w:r>
    </w:p>
    <w:p w14:paraId="23CD2A38" w14:textId="16B7A4EF" w:rsidR="00D22041" w:rsidRDefault="00D22041" w:rsidP="00D22041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Peteranec, </w:t>
      </w:r>
      <w:r w:rsidR="005A035D">
        <w:rPr>
          <w:rFonts w:ascii="Bookman Old Style" w:hAnsi="Bookman Old Style" w:cs="Times New Roman"/>
          <w:sz w:val="22"/>
          <w:szCs w:val="22"/>
        </w:rPr>
        <w:t>16</w:t>
      </w:r>
      <w:r>
        <w:rPr>
          <w:rFonts w:ascii="Bookman Old Style" w:hAnsi="Bookman Old Style" w:cs="Times New Roman"/>
          <w:sz w:val="22"/>
          <w:szCs w:val="22"/>
        </w:rPr>
        <w:t>. prosinca 2025.</w:t>
      </w:r>
    </w:p>
    <w:p w14:paraId="10D95986" w14:textId="77777777" w:rsidR="00D22041" w:rsidRDefault="00D22041" w:rsidP="00D22041">
      <w:pPr>
        <w:spacing w:line="0" w:lineRule="atLeast"/>
        <w:rPr>
          <w:rFonts w:ascii="Bookman Old Style" w:hAnsi="Bookman Old Style" w:cs="Times New Roman"/>
          <w:sz w:val="22"/>
          <w:szCs w:val="22"/>
        </w:rPr>
      </w:pPr>
    </w:p>
    <w:p w14:paraId="7D4C1F7A" w14:textId="77777777" w:rsidR="00D22041" w:rsidRDefault="00D22041" w:rsidP="00D22041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</w:p>
    <w:p w14:paraId="6C607531" w14:textId="77777777" w:rsidR="00D22041" w:rsidRDefault="00D22041" w:rsidP="00D22041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PREDSJEDNICA:</w:t>
      </w:r>
    </w:p>
    <w:p w14:paraId="4B7CCBF7" w14:textId="3A2D8765" w:rsidR="00D22041" w:rsidRDefault="00D22041" w:rsidP="00D22041">
      <w:pPr>
        <w:spacing w:line="0" w:lineRule="atLeast"/>
        <w:rPr>
          <w:rFonts w:ascii="Bookman Old Style" w:hAnsi="Bookman Old Style" w:cs="Times New Roman"/>
          <w:b/>
          <w:sz w:val="22"/>
          <w:szCs w:val="22"/>
        </w:rPr>
      </w:pP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</w:r>
      <w:r>
        <w:rPr>
          <w:rFonts w:ascii="Bookman Old Style" w:hAnsi="Bookman Old Style" w:cs="Times New Roman"/>
          <w:b/>
          <w:sz w:val="22"/>
          <w:szCs w:val="22"/>
        </w:rPr>
        <w:tab/>
        <w:t xml:space="preserve">       </w:t>
      </w:r>
      <w:r w:rsidR="005A035D">
        <w:rPr>
          <w:rFonts w:ascii="Bookman Old Style" w:hAnsi="Bookman Old Style" w:cs="Times New Roman"/>
          <w:b/>
          <w:sz w:val="22"/>
          <w:szCs w:val="22"/>
        </w:rPr>
        <w:t xml:space="preserve">   </w:t>
      </w:r>
      <w:r>
        <w:rPr>
          <w:rFonts w:ascii="Bookman Old Style" w:hAnsi="Bookman Old Style" w:cs="Times New Roman"/>
          <w:b/>
          <w:sz w:val="22"/>
          <w:szCs w:val="22"/>
        </w:rPr>
        <w:t xml:space="preserve"> Ivana Dombaj Čižmak</w:t>
      </w:r>
      <w:r w:rsidR="000C0DE7">
        <w:rPr>
          <w:rFonts w:ascii="Bookman Old Style" w:hAnsi="Bookman Old Style" w:cs="Times New Roman"/>
          <w:b/>
          <w:sz w:val="22"/>
          <w:szCs w:val="22"/>
        </w:rPr>
        <w:t>, v.r.</w:t>
      </w:r>
    </w:p>
    <w:p w14:paraId="03142C78" w14:textId="77777777" w:rsidR="00313EAD" w:rsidRDefault="00313EAD"/>
    <w:sectPr w:rsidR="00313E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B15C" w14:textId="77777777" w:rsidR="00D30CCE" w:rsidRDefault="00D30CCE" w:rsidP="00D22041">
      <w:r>
        <w:separator/>
      </w:r>
    </w:p>
  </w:endnote>
  <w:endnote w:type="continuationSeparator" w:id="0">
    <w:p w14:paraId="5ACB55A3" w14:textId="77777777" w:rsidR="00D30CCE" w:rsidRDefault="00D30CCE" w:rsidP="00D2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8BC2E" w14:textId="77777777" w:rsidR="00D30CCE" w:rsidRDefault="00D30CCE" w:rsidP="00D22041">
      <w:r>
        <w:separator/>
      </w:r>
    </w:p>
  </w:footnote>
  <w:footnote w:type="continuationSeparator" w:id="0">
    <w:p w14:paraId="0390CE1A" w14:textId="77777777" w:rsidR="00D30CCE" w:rsidRDefault="00D30CCE" w:rsidP="00D2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D9CE8" w14:textId="77777777" w:rsidR="00D22041" w:rsidRDefault="00D22041">
    <w:pPr>
      <w:pStyle w:val="Zaglavlje"/>
    </w:pPr>
  </w:p>
  <w:p w14:paraId="546C7384" w14:textId="77777777" w:rsidR="00D22041" w:rsidRDefault="00D220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61"/>
    <w:rsid w:val="000C0DE7"/>
    <w:rsid w:val="002E0AF8"/>
    <w:rsid w:val="00313EAD"/>
    <w:rsid w:val="005A035D"/>
    <w:rsid w:val="00AB69A6"/>
    <w:rsid w:val="00D22041"/>
    <w:rsid w:val="00D30CCE"/>
    <w:rsid w:val="00FA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A39E"/>
  <w15:chartTrackingRefBased/>
  <w15:docId w15:val="{6C44EE73-CEBF-42EC-AF5E-76EBB041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41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D2204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220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2041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220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2041"/>
    <w:rPr>
      <w:rFonts w:ascii="Calibri" w:eastAsia="Calibri" w:hAnsi="Calibri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3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4</cp:revision>
  <dcterms:created xsi:type="dcterms:W3CDTF">2025-12-12T10:42:00Z</dcterms:created>
  <dcterms:modified xsi:type="dcterms:W3CDTF">2025-12-19T12:30:00Z</dcterms:modified>
</cp:coreProperties>
</file>