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BFD" w:rsidRDefault="00E1095F">
      <w:pPr>
        <w:spacing w:after="0"/>
        <w:ind w:left="-24"/>
        <w:jc w:val="both"/>
      </w:pPr>
      <w:r>
        <w:t xml:space="preserve"> </w:t>
      </w:r>
    </w:p>
    <w:tbl>
      <w:tblPr>
        <w:tblStyle w:val="TableGrid"/>
        <w:tblW w:w="9609" w:type="dxa"/>
        <w:tblInd w:w="-132" w:type="dxa"/>
        <w:tblCellMar>
          <w:top w:w="48" w:type="dxa"/>
          <w:left w:w="108" w:type="dxa"/>
          <w:right w:w="58" w:type="dxa"/>
        </w:tblCellMar>
        <w:tblLook w:val="04A0" w:firstRow="1" w:lastRow="0" w:firstColumn="1" w:lastColumn="0" w:noHBand="0" w:noVBand="1"/>
      </w:tblPr>
      <w:tblGrid>
        <w:gridCol w:w="3512"/>
        <w:gridCol w:w="6097"/>
      </w:tblGrid>
      <w:tr w:rsidR="00F83BFD" w:rsidTr="005A3568">
        <w:trPr>
          <w:trHeight w:val="1200"/>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3E1819" w:rsidRDefault="00E1095F" w:rsidP="003E1819">
            <w:pPr>
              <w:ind w:right="53"/>
              <w:jc w:val="center"/>
            </w:pPr>
            <w:r>
              <w:rPr>
                <w:b/>
                <w:sz w:val="24"/>
              </w:rPr>
              <w:t xml:space="preserve">IZVJEŠĆE O PROVEDENOM SAVJETOVANJU S ZAINTERESIRANOM JAVNOŠĆU </w:t>
            </w:r>
          </w:p>
          <w:p w:rsidR="00F83BFD" w:rsidRDefault="00F83BFD" w:rsidP="00E1095F">
            <w:pPr>
              <w:jc w:val="center"/>
            </w:pPr>
          </w:p>
        </w:tc>
      </w:tr>
      <w:tr w:rsidR="00F83BFD" w:rsidTr="00E1095F">
        <w:trPr>
          <w:trHeight w:val="302"/>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3D38FF" w:rsidP="00B22544">
            <w:pPr>
              <w:ind w:right="48"/>
              <w:jc w:val="center"/>
            </w:pPr>
            <w:r>
              <w:rPr>
                <w:b/>
                <w:sz w:val="24"/>
              </w:rPr>
              <w:t xml:space="preserve">Mjesto i datum: Peteranec, </w:t>
            </w:r>
            <w:r w:rsidR="00B22544">
              <w:rPr>
                <w:b/>
                <w:sz w:val="24"/>
              </w:rPr>
              <w:t>02</w:t>
            </w:r>
            <w:r w:rsidR="00E1095F">
              <w:rPr>
                <w:b/>
                <w:sz w:val="24"/>
              </w:rPr>
              <w:t xml:space="preserve">. </w:t>
            </w:r>
            <w:r w:rsidR="00B22544">
              <w:rPr>
                <w:b/>
                <w:sz w:val="24"/>
              </w:rPr>
              <w:t>svibnja 2023</w:t>
            </w:r>
            <w:r w:rsidR="00E1095F">
              <w:rPr>
                <w:b/>
                <w:sz w:val="24"/>
              </w:rPr>
              <w:t xml:space="preserve">. </w:t>
            </w:r>
          </w:p>
        </w:tc>
      </w:tr>
      <w:tr w:rsidR="00F83BFD" w:rsidTr="005A3568">
        <w:trPr>
          <w:trHeight w:val="302"/>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rsidR="00F83BFD" w:rsidRDefault="00E1095F">
            <w:pPr>
              <w:ind w:left="2"/>
              <w:jc w:val="center"/>
            </w:pPr>
            <w:r>
              <w:rPr>
                <w:b/>
                <w:sz w:val="24"/>
              </w:rPr>
              <w:t xml:space="preserve"> </w:t>
            </w:r>
          </w:p>
        </w:tc>
      </w:tr>
      <w:tr w:rsidR="00F83BFD" w:rsidTr="00E1095F">
        <w:trPr>
          <w:trHeight w:val="598"/>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r>
              <w:rPr>
                <w:b/>
                <w:sz w:val="24"/>
              </w:rPr>
              <w:t xml:space="preserve">Naziv akta za koji je provedeno savjetovanje s javnošću </w:t>
            </w:r>
          </w:p>
        </w:tc>
        <w:tc>
          <w:tcPr>
            <w:tcW w:w="6097" w:type="dxa"/>
            <w:tcBorders>
              <w:top w:val="single" w:sz="4" w:space="0" w:color="000000"/>
              <w:left w:val="single" w:sz="4" w:space="0" w:color="000000"/>
              <w:bottom w:val="single" w:sz="4" w:space="0" w:color="000000"/>
              <w:right w:val="single" w:sz="4" w:space="0" w:color="000000"/>
            </w:tcBorders>
          </w:tcPr>
          <w:p w:rsidR="00F83BFD" w:rsidRPr="00CF18EC" w:rsidRDefault="00B22544" w:rsidP="00BA2093">
            <w:pPr>
              <w:jc w:val="both"/>
              <w:rPr>
                <w:rFonts w:asciiTheme="minorHAnsi" w:eastAsiaTheme="minorEastAsia" w:hAnsiTheme="minorHAnsi" w:cstheme="minorHAnsi"/>
                <w:color w:val="auto"/>
              </w:rPr>
            </w:pPr>
            <w:r>
              <w:rPr>
                <w:rFonts w:asciiTheme="minorHAnsi" w:hAnsiTheme="minorHAnsi" w:cstheme="minorHAnsi"/>
              </w:rPr>
              <w:t xml:space="preserve">Nacrt </w:t>
            </w:r>
            <w:r w:rsidRPr="00B22544">
              <w:rPr>
                <w:rFonts w:asciiTheme="minorHAnsi" w:hAnsiTheme="minorHAnsi" w:cstheme="minorHAnsi"/>
              </w:rPr>
              <w:t>Godišnjeg provedbenog plana unapređenja zaštite od požara za područje Općine Peteranec za 2023. godinu</w:t>
            </w:r>
          </w:p>
        </w:tc>
      </w:tr>
      <w:tr w:rsidR="00F83BFD" w:rsidTr="00E1095F">
        <w:trPr>
          <w:trHeight w:val="595"/>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r>
              <w:rPr>
                <w:b/>
                <w:sz w:val="24"/>
              </w:rPr>
              <w:t xml:space="preserve">Naziv tijela nadležnog za izradu nacrta/provedbe savjetovanja </w:t>
            </w:r>
          </w:p>
        </w:tc>
        <w:tc>
          <w:tcPr>
            <w:tcW w:w="6097" w:type="dxa"/>
            <w:tcBorders>
              <w:top w:val="single" w:sz="4" w:space="0" w:color="000000"/>
              <w:left w:val="single" w:sz="4" w:space="0" w:color="000000"/>
              <w:bottom w:val="single" w:sz="4" w:space="0" w:color="000000"/>
              <w:right w:val="single" w:sz="4" w:space="0" w:color="000000"/>
            </w:tcBorders>
          </w:tcPr>
          <w:p w:rsidR="00E1095F" w:rsidRPr="009D338B" w:rsidRDefault="00E1095F"/>
          <w:p w:rsidR="00F83BFD" w:rsidRPr="009D338B" w:rsidRDefault="00E1095F">
            <w:r w:rsidRPr="009D338B">
              <w:t>Jedinstveni upravni odjel Općine Peteranec</w:t>
            </w:r>
          </w:p>
        </w:tc>
      </w:tr>
      <w:tr w:rsidR="00F83BFD" w:rsidTr="004A7296">
        <w:trPr>
          <w:trHeight w:val="84"/>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r>
              <w:rPr>
                <w:b/>
                <w:sz w:val="24"/>
              </w:rPr>
              <w:t xml:space="preserve">Razlozi donošenja akta i ciljevi koji se njime žele postići uz sažetak ključnih pitanja </w:t>
            </w:r>
          </w:p>
        </w:tc>
        <w:tc>
          <w:tcPr>
            <w:tcW w:w="6097" w:type="dxa"/>
            <w:tcBorders>
              <w:top w:val="single" w:sz="4" w:space="0" w:color="000000"/>
              <w:left w:val="single" w:sz="4" w:space="0" w:color="000000"/>
              <w:bottom w:val="single" w:sz="4" w:space="0" w:color="000000"/>
              <w:right w:val="single" w:sz="4" w:space="0" w:color="000000"/>
            </w:tcBorders>
          </w:tcPr>
          <w:p w:rsidR="00CF18EC" w:rsidRDefault="003E1819" w:rsidP="003E1819">
            <w:pPr>
              <w:tabs>
                <w:tab w:val="left" w:pos="3825"/>
              </w:tabs>
              <w:jc w:val="both"/>
              <w:rPr>
                <w:rFonts w:asciiTheme="minorHAnsi" w:hAnsiTheme="minorHAnsi" w:cstheme="minorHAnsi"/>
              </w:rPr>
            </w:pPr>
            <w:r w:rsidRPr="009D338B">
              <w:rPr>
                <w:rFonts w:asciiTheme="minorHAnsi" w:hAnsiTheme="minorHAnsi" w:cstheme="minorHAnsi"/>
              </w:rPr>
              <w:t xml:space="preserve">Javno savjetovanje provedeno je s ciljem prikupljanja mišljenja, primjedbi i prijedloga javnosti o predmetnom </w:t>
            </w:r>
            <w:r w:rsidR="009D338B" w:rsidRPr="009D338B">
              <w:rPr>
                <w:rFonts w:asciiTheme="minorHAnsi" w:hAnsiTheme="minorHAnsi" w:cstheme="minorHAnsi"/>
              </w:rPr>
              <w:t xml:space="preserve">Nacrtu </w:t>
            </w:r>
            <w:r w:rsidR="00B22544" w:rsidRPr="00B22544">
              <w:rPr>
                <w:rFonts w:asciiTheme="minorHAnsi" w:hAnsiTheme="minorHAnsi" w:cstheme="minorHAnsi"/>
              </w:rPr>
              <w:t>Godišnjeg provedbenog plana unapređenja zaštite od požara za područje Općine Peteranec za 2023. godinu</w:t>
            </w:r>
          </w:p>
          <w:p w:rsidR="00B22544" w:rsidRPr="009D338B" w:rsidRDefault="00B22544" w:rsidP="003E1819">
            <w:pPr>
              <w:tabs>
                <w:tab w:val="left" w:pos="3825"/>
              </w:tabs>
              <w:jc w:val="both"/>
              <w:rPr>
                <w:rFonts w:asciiTheme="minorHAnsi" w:hAnsiTheme="minorHAnsi" w:cstheme="minorHAnsi"/>
              </w:rPr>
            </w:pPr>
          </w:p>
          <w:p w:rsidR="00CF18EC" w:rsidRDefault="003E1819" w:rsidP="003E1819">
            <w:pPr>
              <w:tabs>
                <w:tab w:val="left" w:pos="3825"/>
              </w:tabs>
              <w:jc w:val="both"/>
              <w:rPr>
                <w:rFonts w:asciiTheme="minorHAnsi" w:hAnsiTheme="minorHAnsi" w:cstheme="minorHAnsi"/>
                <w:b/>
              </w:rPr>
            </w:pPr>
            <w:r w:rsidRPr="009D338B">
              <w:rPr>
                <w:rFonts w:asciiTheme="minorHAnsi" w:hAnsiTheme="minorHAnsi" w:cstheme="minorHAnsi"/>
                <w:b/>
              </w:rPr>
              <w:t xml:space="preserve">PRAVNA OSNOVA ZA DONOŠENJE </w:t>
            </w:r>
            <w:r w:rsidR="00B22544" w:rsidRPr="00B22544">
              <w:rPr>
                <w:rFonts w:asciiTheme="minorHAnsi" w:hAnsiTheme="minorHAnsi" w:cstheme="minorHAnsi"/>
                <w:b/>
              </w:rPr>
              <w:t>GODIŠNJEG PROVEDBENOG PLANA UNAPREĐENJA ZAŠTITE OD POŽARA ZA PODRUČJE OPĆINE PETERANEC ZA 2023. GODINU</w:t>
            </w:r>
          </w:p>
          <w:p w:rsidR="00B22544" w:rsidRPr="00CF18EC" w:rsidRDefault="00B22544" w:rsidP="003E1819">
            <w:pPr>
              <w:tabs>
                <w:tab w:val="left" w:pos="3825"/>
              </w:tabs>
              <w:jc w:val="both"/>
              <w:rPr>
                <w:rFonts w:asciiTheme="minorHAnsi" w:hAnsiTheme="minorHAnsi" w:cstheme="minorHAnsi"/>
                <w:b/>
              </w:rPr>
            </w:pPr>
          </w:p>
          <w:p w:rsidR="00B22544" w:rsidRDefault="00B22544" w:rsidP="00B22544">
            <w:pPr>
              <w:autoSpaceDE w:val="0"/>
              <w:adjustRightInd w:val="0"/>
              <w:spacing w:line="276" w:lineRule="auto"/>
              <w:jc w:val="both"/>
              <w:rPr>
                <w:rFonts w:ascii="Times New Roman" w:eastAsia="Times New Roman" w:hAnsi="Times New Roman"/>
                <w:iCs/>
              </w:rPr>
            </w:pPr>
            <w:r w:rsidRPr="00542B24">
              <w:rPr>
                <w:rFonts w:ascii="Times New Roman" w:eastAsia="Times New Roman" w:hAnsi="Times New Roman"/>
                <w:iCs/>
              </w:rPr>
              <w:t xml:space="preserve">Sukladno  članku </w:t>
            </w:r>
            <w:r w:rsidRPr="00542B24">
              <w:rPr>
                <w:rFonts w:ascii="Times New Roman" w:eastAsia="Times New Roman" w:hAnsi="Times New Roman"/>
              </w:rPr>
              <w:t xml:space="preserve">13. </w:t>
            </w:r>
            <w:r w:rsidRPr="00542B24">
              <w:rPr>
                <w:rFonts w:ascii="Times New Roman" w:eastAsia="Times New Roman" w:hAnsi="Times New Roman"/>
                <w:iCs/>
              </w:rPr>
              <w:t xml:space="preserve">stavku </w:t>
            </w:r>
            <w:r w:rsidRPr="00542B24">
              <w:rPr>
                <w:rFonts w:ascii="Times New Roman" w:eastAsia="Times New Roman" w:hAnsi="Times New Roman"/>
              </w:rPr>
              <w:t xml:space="preserve">4. </w:t>
            </w:r>
            <w:r w:rsidRPr="00542B24">
              <w:rPr>
                <w:rFonts w:ascii="Times New Roman" w:eastAsia="Times New Roman" w:hAnsi="Times New Roman"/>
                <w:iCs/>
              </w:rPr>
              <w:t xml:space="preserve">Zakona </w:t>
            </w:r>
            <w:r w:rsidRPr="00542B24">
              <w:rPr>
                <w:rFonts w:ascii="Times New Roman" w:eastAsia="Times New Roman" w:hAnsi="Times New Roman"/>
              </w:rPr>
              <w:t xml:space="preserve">o </w:t>
            </w:r>
            <w:r w:rsidRPr="00542B24">
              <w:rPr>
                <w:rFonts w:ascii="Times New Roman" w:eastAsia="Times New Roman" w:hAnsi="Times New Roman"/>
                <w:iCs/>
              </w:rPr>
              <w:t xml:space="preserve">zaštiti od požara </w:t>
            </w:r>
            <w:r w:rsidRPr="00542B24">
              <w:rPr>
                <w:rFonts w:ascii="Times New Roman" w:hAnsi="Times New Roman"/>
                <w:iCs/>
              </w:rPr>
              <w:t xml:space="preserve">(„Narodne novine“ broj 92/10. i </w:t>
            </w:r>
            <w:r w:rsidRPr="00542B24">
              <w:rPr>
                <w:rFonts w:ascii="Times New Roman" w:eastAsia="Times New Roman" w:hAnsi="Times New Roman"/>
                <w:sz w:val="24"/>
                <w:szCs w:val="24"/>
              </w:rPr>
              <w:t>114/22.</w:t>
            </w:r>
            <w:r w:rsidRPr="00542B24">
              <w:rPr>
                <w:rFonts w:ascii="Times New Roman" w:hAnsi="Times New Roman"/>
                <w:iCs/>
              </w:rPr>
              <w:t xml:space="preserve">), </w:t>
            </w:r>
            <w:r w:rsidRPr="00542B24">
              <w:rPr>
                <w:rFonts w:ascii="Times New Roman" w:eastAsia="Times New Roman" w:hAnsi="Times New Roman"/>
                <w:iCs/>
              </w:rPr>
              <w:t xml:space="preserve">kojim je propisano da 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 </w:t>
            </w:r>
          </w:p>
          <w:p w:rsidR="00B22544" w:rsidRPr="00542B24" w:rsidRDefault="00B22544" w:rsidP="00B22544">
            <w:pPr>
              <w:autoSpaceDE w:val="0"/>
              <w:adjustRightInd w:val="0"/>
              <w:spacing w:line="276" w:lineRule="auto"/>
              <w:jc w:val="both"/>
              <w:rPr>
                <w:rFonts w:ascii="Times New Roman" w:eastAsia="Times New Roman" w:hAnsi="Times New Roman"/>
                <w:iCs/>
              </w:rPr>
            </w:pPr>
            <w:r w:rsidRPr="00542B24">
              <w:rPr>
                <w:rFonts w:ascii="Times New Roman" w:eastAsia="Times New Roman" w:hAnsi="Times New Roman"/>
                <w:iCs/>
              </w:rPr>
              <w:t xml:space="preserve">Točkom I. utvrđen je cilj donošenja Godišnjeg provedbenog plan unaprjeđenja zaštite od požara za područje </w:t>
            </w:r>
            <w:r>
              <w:rPr>
                <w:rFonts w:ascii="Times New Roman" w:eastAsia="Times New Roman" w:hAnsi="Times New Roman"/>
                <w:iCs/>
              </w:rPr>
              <w:t>Općine Peteranec</w:t>
            </w:r>
            <w:r w:rsidRPr="00542B24">
              <w:rPr>
                <w:rFonts w:ascii="Times New Roman" w:eastAsia="Times New Roman" w:hAnsi="Times New Roman"/>
                <w:iCs/>
              </w:rPr>
              <w:t xml:space="preserve"> za 2023. godinu</w:t>
            </w:r>
          </w:p>
          <w:p w:rsidR="00B22544" w:rsidRPr="00542B24" w:rsidRDefault="00B22544" w:rsidP="00B22544">
            <w:pPr>
              <w:autoSpaceDE w:val="0"/>
              <w:adjustRightInd w:val="0"/>
              <w:spacing w:line="276" w:lineRule="auto"/>
              <w:jc w:val="both"/>
              <w:rPr>
                <w:rFonts w:ascii="Times New Roman" w:eastAsia="Times New Roman" w:hAnsi="Times New Roman"/>
                <w:iCs/>
              </w:rPr>
            </w:pPr>
            <w:r w:rsidRPr="00542B24">
              <w:rPr>
                <w:rFonts w:ascii="Times New Roman" w:eastAsia="Times New Roman" w:hAnsi="Times New Roman"/>
                <w:iCs/>
              </w:rPr>
              <w:t xml:space="preserve">Točkom II. utvrđene su mjere, dionici i rokovi za izvršenje mjera u zaštiti od požara na području </w:t>
            </w:r>
            <w:r>
              <w:rPr>
                <w:rFonts w:ascii="Times New Roman" w:eastAsia="Times New Roman" w:hAnsi="Times New Roman"/>
                <w:iCs/>
              </w:rPr>
              <w:t>Peteranec</w:t>
            </w:r>
            <w:r w:rsidRPr="00542B24">
              <w:rPr>
                <w:rFonts w:ascii="Times New Roman" w:eastAsia="Times New Roman" w:hAnsi="Times New Roman"/>
                <w:iCs/>
              </w:rPr>
              <w:t xml:space="preserve"> za 2023. godinu.</w:t>
            </w:r>
          </w:p>
          <w:p w:rsidR="00B22544" w:rsidRDefault="00B22544" w:rsidP="00B22544">
            <w:pPr>
              <w:autoSpaceDE w:val="0"/>
              <w:adjustRightInd w:val="0"/>
              <w:spacing w:line="276" w:lineRule="auto"/>
              <w:jc w:val="both"/>
              <w:rPr>
                <w:rFonts w:ascii="Times New Roman" w:eastAsia="Times New Roman" w:hAnsi="Times New Roman"/>
                <w:iCs/>
              </w:rPr>
            </w:pPr>
            <w:r w:rsidRPr="00542B24">
              <w:rPr>
                <w:rFonts w:ascii="Times New Roman" w:eastAsia="Times New Roman" w:hAnsi="Times New Roman"/>
                <w:iCs/>
              </w:rPr>
              <w:t>Točkom III. utvrđena je obaveza obavještavanja sudionika i izvršitelja zadataka.</w:t>
            </w:r>
          </w:p>
          <w:p w:rsidR="00B22544" w:rsidRPr="00542B24" w:rsidRDefault="00B22544" w:rsidP="00B22544">
            <w:pPr>
              <w:autoSpaceDE w:val="0"/>
              <w:adjustRightInd w:val="0"/>
              <w:spacing w:line="276" w:lineRule="auto"/>
              <w:jc w:val="both"/>
              <w:rPr>
                <w:rFonts w:ascii="Times New Roman" w:eastAsia="Times New Roman" w:hAnsi="Times New Roman"/>
                <w:iCs/>
              </w:rPr>
            </w:pPr>
            <w:r>
              <w:rPr>
                <w:rFonts w:ascii="Times New Roman" w:eastAsia="Times New Roman" w:hAnsi="Times New Roman"/>
                <w:iCs/>
              </w:rPr>
              <w:t>Točkom IV. utvrđena je obveza izvještavanja o provedbi Plana.</w:t>
            </w:r>
          </w:p>
          <w:p w:rsidR="00B22544" w:rsidRPr="00542B24" w:rsidRDefault="00B22544" w:rsidP="00B22544">
            <w:pPr>
              <w:autoSpaceDE w:val="0"/>
              <w:adjustRightInd w:val="0"/>
              <w:spacing w:line="276" w:lineRule="auto"/>
              <w:jc w:val="both"/>
              <w:rPr>
                <w:rFonts w:ascii="Times New Roman" w:eastAsia="Times New Roman" w:hAnsi="Times New Roman"/>
                <w:iCs/>
              </w:rPr>
            </w:pPr>
            <w:r>
              <w:rPr>
                <w:rFonts w:ascii="Times New Roman" w:eastAsia="Times New Roman" w:hAnsi="Times New Roman"/>
                <w:iCs/>
              </w:rPr>
              <w:t>Točkom V. ovog P</w:t>
            </w:r>
            <w:r w:rsidRPr="00542B24">
              <w:rPr>
                <w:rFonts w:ascii="Times New Roman" w:eastAsia="Times New Roman" w:hAnsi="Times New Roman"/>
                <w:iCs/>
              </w:rPr>
              <w:t xml:space="preserve">lana utvrđena je objava u </w:t>
            </w:r>
            <w:r>
              <w:rPr>
                <w:rFonts w:ascii="Times New Roman" w:eastAsia="Times New Roman" w:hAnsi="Times New Roman"/>
                <w:iCs/>
              </w:rPr>
              <w:t>„Službenom glasniku Koprivničko-križevačke županije“</w:t>
            </w:r>
            <w:r w:rsidRPr="00542B24">
              <w:rPr>
                <w:rFonts w:ascii="Times New Roman" w:eastAsia="Times New Roman" w:hAnsi="Times New Roman"/>
                <w:iCs/>
              </w:rPr>
              <w:t>.</w:t>
            </w:r>
          </w:p>
          <w:p w:rsidR="00E209D3" w:rsidRPr="00BA2093" w:rsidRDefault="00E209D3" w:rsidP="00CF18EC">
            <w:pPr>
              <w:jc w:val="both"/>
              <w:textAlignment w:val="baseline"/>
              <w:rPr>
                <w:rFonts w:eastAsia="Times New Roman" w:cstheme="minorHAnsi"/>
                <w:szCs w:val="24"/>
              </w:rPr>
            </w:pPr>
          </w:p>
        </w:tc>
      </w:tr>
      <w:tr w:rsidR="00F83BFD" w:rsidTr="00E1095F">
        <w:trPr>
          <w:trHeight w:val="1085"/>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r>
              <w:rPr>
                <w:b/>
                <w:sz w:val="24"/>
              </w:rPr>
              <w:t xml:space="preserve">Objava dokumenta za </w:t>
            </w:r>
          </w:p>
          <w:p w:rsidR="00F83BFD" w:rsidRDefault="00E1095F">
            <w:r>
              <w:rPr>
                <w:b/>
                <w:sz w:val="24"/>
              </w:rPr>
              <w:t xml:space="preserve">savjetovanje </w:t>
            </w:r>
          </w:p>
        </w:tc>
        <w:tc>
          <w:tcPr>
            <w:tcW w:w="6097" w:type="dxa"/>
            <w:tcBorders>
              <w:top w:val="single" w:sz="4" w:space="0" w:color="000000"/>
              <w:left w:val="single" w:sz="4" w:space="0" w:color="000000"/>
              <w:bottom w:val="single" w:sz="4" w:space="0" w:color="000000"/>
              <w:right w:val="single" w:sz="4" w:space="0" w:color="000000"/>
            </w:tcBorders>
          </w:tcPr>
          <w:p w:rsidR="00F83BFD" w:rsidRPr="00F12757" w:rsidRDefault="00E1095F">
            <w:pPr>
              <w:rPr>
                <w:color w:val="auto"/>
              </w:rPr>
            </w:pPr>
            <w:r w:rsidRPr="00F12757">
              <w:rPr>
                <w:color w:val="auto"/>
              </w:rPr>
              <w:t xml:space="preserve">Poveznica:  </w:t>
            </w:r>
          </w:p>
          <w:p w:rsidR="00F83BFD" w:rsidRPr="00E1095F" w:rsidRDefault="0030414B" w:rsidP="00E1095F">
            <w:pPr>
              <w:rPr>
                <w:iCs/>
              </w:rPr>
            </w:pPr>
            <w:hyperlink r:id="rId5" w:history="1">
              <w:r w:rsidR="00F12757" w:rsidRPr="00FB08A2">
                <w:rPr>
                  <w:rStyle w:val="Hiperveza"/>
                </w:rPr>
                <w:t>https://peteranec.hr/dokumenti-opcine/e-savjetovanje/nacrt-godisnjeg-provedbenog-plana-unapredenja-zastite-od-pozara-za-podrucje-opcine-peteranec-za-2023-godinu</w:t>
              </w:r>
            </w:hyperlink>
            <w:r w:rsidR="00F12757">
              <w:t xml:space="preserve"> </w:t>
            </w:r>
          </w:p>
        </w:tc>
      </w:tr>
      <w:tr w:rsidR="00F83BFD" w:rsidTr="00E1095F">
        <w:trPr>
          <w:trHeight w:val="889"/>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pPr>
              <w:ind w:right="41"/>
            </w:pPr>
            <w:r>
              <w:rPr>
                <w:b/>
                <w:sz w:val="24"/>
              </w:rPr>
              <w:t xml:space="preserve">Razdoblje provedbe savjetovanja </w:t>
            </w:r>
          </w:p>
          <w:p w:rsidR="00F83BFD" w:rsidRDefault="00E1095F">
            <w:r>
              <w:rPr>
                <w:b/>
                <w:sz w:val="24"/>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F83BFD" w:rsidRDefault="00E1095F" w:rsidP="00B22544">
            <w:r>
              <w:t xml:space="preserve">Internetsko savjetovanje sa zainteresiranom javnošću </w:t>
            </w:r>
            <w:r w:rsidR="003E1819">
              <w:t xml:space="preserve">trajalo je 30 dana, a provedeno je u razdoblju od </w:t>
            </w:r>
            <w:r w:rsidR="00B22544">
              <w:t>31</w:t>
            </w:r>
            <w:r>
              <w:t>.</w:t>
            </w:r>
            <w:r w:rsidR="003E1819">
              <w:t xml:space="preserve"> </w:t>
            </w:r>
            <w:r w:rsidR="00B22544">
              <w:t>ožujka 2023</w:t>
            </w:r>
            <w:r w:rsidR="007E4F41">
              <w:t xml:space="preserve">. godine do </w:t>
            </w:r>
            <w:r w:rsidR="00B22544">
              <w:t>30</w:t>
            </w:r>
            <w:r>
              <w:t xml:space="preserve">. </w:t>
            </w:r>
            <w:r w:rsidR="00B22544">
              <w:t>travnja 2023</w:t>
            </w:r>
            <w:r>
              <w:t xml:space="preserve">. godine </w:t>
            </w:r>
          </w:p>
        </w:tc>
      </w:tr>
      <w:tr w:rsidR="00F83BFD" w:rsidTr="00E1095F">
        <w:trPr>
          <w:trHeight w:val="1622"/>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r>
              <w:rPr>
                <w:b/>
                <w:sz w:val="24"/>
              </w:rPr>
              <w:lastRenderedPageBreak/>
              <w:t xml:space="preserve">Pregled osnovnih pokazatelja uključenih uključenosti savjetovanju s zainteresiranom javnošću </w:t>
            </w:r>
          </w:p>
        </w:tc>
        <w:tc>
          <w:tcPr>
            <w:tcW w:w="6097" w:type="dxa"/>
            <w:tcBorders>
              <w:top w:val="single" w:sz="4" w:space="0" w:color="000000"/>
              <w:left w:val="single" w:sz="4" w:space="0" w:color="000000"/>
              <w:bottom w:val="single" w:sz="4" w:space="0" w:color="000000"/>
              <w:right w:val="single" w:sz="4" w:space="0" w:color="000000"/>
            </w:tcBorders>
          </w:tcPr>
          <w:p w:rsidR="00E1095F" w:rsidRDefault="00E1095F" w:rsidP="00CF18EC">
            <w:pPr>
              <w:ind w:right="33"/>
              <w:jc w:val="both"/>
            </w:pPr>
            <w:r w:rsidRPr="0030414B">
              <w:rPr>
                <w:color w:val="auto"/>
              </w:rPr>
              <w:t xml:space="preserve">Nakon provedenog postupka internetskog savjetovanja sa zainteresiranom javnošću Općina Peteranec objavljuje u ovome Izvješću da za vrijeme trajanja postupka internetskog savjetovanja sa zainteresiranom javnošću nisu pristigle nikakve primjedbe i prijedlozi na </w:t>
            </w:r>
            <w:r w:rsidR="009D338B" w:rsidRPr="0030414B">
              <w:rPr>
                <w:color w:val="auto"/>
              </w:rPr>
              <w:t xml:space="preserve">Nacrt </w:t>
            </w:r>
            <w:r w:rsidR="00B22544" w:rsidRPr="0030414B">
              <w:rPr>
                <w:rFonts w:asciiTheme="minorHAnsi" w:hAnsiTheme="minorHAnsi" w:cstheme="minorHAnsi"/>
                <w:color w:val="auto"/>
              </w:rPr>
              <w:t>Godišnjeg provedbenog plana unapređenja zaštite od požara za područje Općine Peteranec za 2023. godinu</w:t>
            </w:r>
          </w:p>
        </w:tc>
      </w:tr>
      <w:tr w:rsidR="00F83BFD" w:rsidTr="00E1095F">
        <w:trPr>
          <w:trHeight w:val="1181"/>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r>
              <w:rPr>
                <w:b/>
                <w:sz w:val="24"/>
              </w:rPr>
              <w:t xml:space="preserve">Pregled prihvaćenih i neprihvaćenih mišljenja i prijedloga s obrazloženjem razloga za neprihvaćanje </w:t>
            </w:r>
          </w:p>
        </w:tc>
        <w:tc>
          <w:tcPr>
            <w:tcW w:w="6097" w:type="dxa"/>
            <w:tcBorders>
              <w:top w:val="single" w:sz="4" w:space="0" w:color="000000"/>
              <w:left w:val="single" w:sz="4" w:space="0" w:color="000000"/>
              <w:bottom w:val="single" w:sz="4" w:space="0" w:color="000000"/>
              <w:right w:val="single" w:sz="4" w:space="0" w:color="000000"/>
            </w:tcBorders>
          </w:tcPr>
          <w:p w:rsidR="00E1095F" w:rsidRPr="009D338B" w:rsidRDefault="00E1095F"/>
          <w:p w:rsidR="00E1095F" w:rsidRPr="009D338B" w:rsidRDefault="00E1095F"/>
          <w:p w:rsidR="00F83BFD" w:rsidRPr="009D338B" w:rsidRDefault="00E1095F">
            <w:r w:rsidRPr="009D338B">
              <w:t xml:space="preserve">Nema </w:t>
            </w:r>
          </w:p>
        </w:tc>
      </w:tr>
      <w:tr w:rsidR="00F83BFD" w:rsidTr="00E1095F">
        <w:trPr>
          <w:trHeight w:val="595"/>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r>
              <w:rPr>
                <w:b/>
                <w:sz w:val="24"/>
              </w:rPr>
              <w:t xml:space="preserve">Ostali oblici savjetovanja s javnošću </w:t>
            </w:r>
          </w:p>
        </w:tc>
        <w:tc>
          <w:tcPr>
            <w:tcW w:w="6097" w:type="dxa"/>
            <w:tcBorders>
              <w:top w:val="single" w:sz="4" w:space="0" w:color="000000"/>
              <w:left w:val="single" w:sz="4" w:space="0" w:color="000000"/>
              <w:bottom w:val="single" w:sz="4" w:space="0" w:color="000000"/>
              <w:right w:val="single" w:sz="4" w:space="0" w:color="000000"/>
            </w:tcBorders>
          </w:tcPr>
          <w:p w:rsidR="00F83BFD" w:rsidRPr="009D338B" w:rsidRDefault="00E1095F">
            <w:r w:rsidRPr="009D338B">
              <w:t xml:space="preserve">Nema </w:t>
            </w:r>
          </w:p>
        </w:tc>
      </w:tr>
      <w:tr w:rsidR="00F83BFD" w:rsidTr="00E1095F">
        <w:trPr>
          <w:trHeight w:val="596"/>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83BFD" w:rsidRDefault="00E1095F">
            <w:r>
              <w:rPr>
                <w:b/>
                <w:sz w:val="24"/>
              </w:rPr>
              <w:t xml:space="preserve">Troškovi provedenog savjetovanja </w:t>
            </w:r>
          </w:p>
        </w:tc>
        <w:tc>
          <w:tcPr>
            <w:tcW w:w="6097" w:type="dxa"/>
            <w:tcBorders>
              <w:top w:val="single" w:sz="4" w:space="0" w:color="000000"/>
              <w:left w:val="single" w:sz="4" w:space="0" w:color="000000"/>
              <w:bottom w:val="single" w:sz="4" w:space="0" w:color="000000"/>
              <w:right w:val="single" w:sz="4" w:space="0" w:color="000000"/>
            </w:tcBorders>
          </w:tcPr>
          <w:p w:rsidR="00F83BFD" w:rsidRPr="009D338B" w:rsidRDefault="00E1095F">
            <w:r w:rsidRPr="009D338B">
              <w:t xml:space="preserve">Provedba javnog savjetovanja nije iziskivala dodatne financijske troškove </w:t>
            </w:r>
          </w:p>
        </w:tc>
      </w:tr>
      <w:tr w:rsidR="00E1095F" w:rsidTr="00E1095F">
        <w:trPr>
          <w:trHeight w:val="596"/>
        </w:trPr>
        <w:tc>
          <w:tcPr>
            <w:tcW w:w="35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1095F" w:rsidRDefault="00E1095F">
            <w:pPr>
              <w:rPr>
                <w:b/>
                <w:sz w:val="24"/>
              </w:rPr>
            </w:pPr>
            <w:r>
              <w:rPr>
                <w:b/>
                <w:sz w:val="24"/>
              </w:rPr>
              <w:t>Izvješće o provedenom savjetovanju izradila</w:t>
            </w:r>
          </w:p>
        </w:tc>
        <w:tc>
          <w:tcPr>
            <w:tcW w:w="6097" w:type="dxa"/>
            <w:tcBorders>
              <w:top w:val="single" w:sz="4" w:space="0" w:color="000000"/>
              <w:left w:val="single" w:sz="4" w:space="0" w:color="000000"/>
              <w:bottom w:val="single" w:sz="4" w:space="0" w:color="000000"/>
              <w:right w:val="single" w:sz="4" w:space="0" w:color="000000"/>
            </w:tcBorders>
          </w:tcPr>
          <w:p w:rsidR="00E1095F" w:rsidRPr="009D338B" w:rsidRDefault="00E1095F">
            <w:r w:rsidRPr="009D338B">
              <w:t>Andrea Senković</w:t>
            </w:r>
          </w:p>
        </w:tc>
      </w:tr>
    </w:tbl>
    <w:p w:rsidR="00F83BFD" w:rsidRDefault="00F83BFD" w:rsidP="00BA2093">
      <w:pPr>
        <w:spacing w:after="0"/>
        <w:ind w:left="4513"/>
        <w:jc w:val="both"/>
      </w:pPr>
      <w:bookmarkStart w:id="0" w:name="_GoBack"/>
      <w:bookmarkEnd w:id="0"/>
    </w:p>
    <w:sectPr w:rsidR="00F83BFD" w:rsidSect="00E209D3">
      <w:pgSz w:w="11906" w:h="16838"/>
      <w:pgMar w:top="426"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FD"/>
    <w:rsid w:val="0030414B"/>
    <w:rsid w:val="003D38FF"/>
    <w:rsid w:val="003E1819"/>
    <w:rsid w:val="004A7296"/>
    <w:rsid w:val="005A3568"/>
    <w:rsid w:val="007E4F41"/>
    <w:rsid w:val="009D338B"/>
    <w:rsid w:val="00B22544"/>
    <w:rsid w:val="00BA2093"/>
    <w:rsid w:val="00BD3D1D"/>
    <w:rsid w:val="00C80981"/>
    <w:rsid w:val="00CF18EC"/>
    <w:rsid w:val="00E1095F"/>
    <w:rsid w:val="00E209D3"/>
    <w:rsid w:val="00F12757"/>
    <w:rsid w:val="00F60982"/>
    <w:rsid w:val="00F83B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93EF1-7EB0-4976-BE9E-56FE54B1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E1095F"/>
    <w:rPr>
      <w:color w:val="0563C1" w:themeColor="hyperlink"/>
      <w:u w:val="single"/>
    </w:rPr>
  </w:style>
  <w:style w:type="character" w:styleId="Istaknuto">
    <w:name w:val="Emphasis"/>
    <w:basedOn w:val="Zadanifontodlomka"/>
    <w:uiPriority w:val="20"/>
    <w:qFormat/>
    <w:rsid w:val="00E1095F"/>
    <w:rPr>
      <w:i/>
      <w:iCs/>
    </w:rPr>
  </w:style>
  <w:style w:type="paragraph" w:styleId="Bezproreda">
    <w:name w:val="No Spacing"/>
    <w:uiPriority w:val="1"/>
    <w:qFormat/>
    <w:rsid w:val="00E1095F"/>
    <w:pPr>
      <w:spacing w:after="0" w:line="240" w:lineRule="auto"/>
    </w:pPr>
    <w:rPr>
      <w:rFonts w:eastAsiaTheme="minorHAnsi"/>
      <w:lang w:eastAsia="en-US"/>
    </w:rPr>
  </w:style>
  <w:style w:type="table" w:styleId="Reetkatablice">
    <w:name w:val="Table Grid"/>
    <w:basedOn w:val="Obinatablica"/>
    <w:uiPriority w:val="59"/>
    <w:rsid w:val="00E109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semiHidden/>
    <w:unhideWhenUsed/>
    <w:rsid w:val="00CF18E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092751">
      <w:bodyDiv w:val="1"/>
      <w:marLeft w:val="0"/>
      <w:marRight w:val="0"/>
      <w:marTop w:val="0"/>
      <w:marBottom w:val="0"/>
      <w:divBdr>
        <w:top w:val="none" w:sz="0" w:space="0" w:color="auto"/>
        <w:left w:val="none" w:sz="0" w:space="0" w:color="auto"/>
        <w:bottom w:val="none" w:sz="0" w:space="0" w:color="auto"/>
        <w:right w:val="none" w:sz="0" w:space="0" w:color="auto"/>
      </w:divBdr>
    </w:div>
    <w:div w:id="1021011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eteranec.hr/dokumenti-opcine/e-savjetovanje/nacrt-godisnjeg-provedbenog-plana-unapredenja-zastite-od-pozara-za-podrucje-opcine-peteranec-za-2023-godinu"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2C42-7F17-4E99-8F6B-48C8DFBA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506</Words>
  <Characters>2885</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cp:lastModifiedBy>Pročelnica</cp:lastModifiedBy>
  <cp:revision>17</cp:revision>
  <dcterms:created xsi:type="dcterms:W3CDTF">2021-02-12T15:37:00Z</dcterms:created>
  <dcterms:modified xsi:type="dcterms:W3CDTF">2023-05-03T12:02:00Z</dcterms:modified>
</cp:coreProperties>
</file>