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11B595FA" w14:textId="7E474AB1" w:rsidR="00DE496C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</w:t>
            </w:r>
            <w:r w:rsidR="00DE496C">
              <w:rPr>
                <w:rFonts w:ascii="Bookman Old Style" w:hAnsi="Bookman Old Style" w:cs="Times New Roman"/>
                <w:b/>
              </w:rPr>
              <w:t>Odluke o sufinanciranju uklanjanja nekretnina na području Općine Peteranec u 2026. godini</w:t>
            </w:r>
          </w:p>
          <w:p w14:paraId="0DE3CC9A" w14:textId="7777777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39B79409" w14:textId="73AAE0FC" w:rsidR="00D52440" w:rsidRDefault="00DE496C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ODLUKE O SUFINANCIRANJU UKLANJANJA NEKRETNINA NA PODRUČJU OPĆINE PETERANEC U 2026. GODINI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lastRenderedPageBreak/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A25E0F"/>
    <w:rsid w:val="00D52440"/>
    <w:rsid w:val="00DE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2026-01-14T06:28:00Z</dcterms:modified>
</cp:coreProperties>
</file>