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43" w:rsidRPr="00EB2BD9" w:rsidRDefault="00083507" w:rsidP="00D44343">
      <w:pPr>
        <w:pStyle w:val="Bezproreda"/>
        <w:jc w:val="both"/>
        <w:rPr>
          <w:rFonts w:ascii="Bookman Old Style" w:hAnsi="Bookman Old Style"/>
          <w:noProof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tab/>
      </w:r>
      <w:r w:rsidR="00D44343" w:rsidRPr="002D2F26">
        <w:rPr>
          <w:rFonts w:ascii="Bookman Old Style" w:hAnsi="Bookman Old Style"/>
          <w:noProof/>
          <w:sz w:val="22"/>
          <w:szCs w:val="22"/>
        </w:rPr>
        <w:t xml:space="preserve">Na temelju članka 67., stavka 1. Zakona o komunalnom gospodarstvu (“Narodne novine” broj 68/18. i 110/18. – Odluka Ustavnog suda RH i 32/20) i članka 31. Statuta Općine Peteranec (“Službeni glasnik Koprivničko-križevačke županije” broj </w:t>
      </w:r>
      <w:r w:rsidR="00D44343">
        <w:rPr>
          <w:rFonts w:ascii="Bookman Old Style" w:hAnsi="Bookman Old Style"/>
          <w:noProof/>
          <w:sz w:val="22"/>
          <w:szCs w:val="22"/>
        </w:rPr>
        <w:t>6/13., 4/18.,</w:t>
      </w:r>
      <w:r w:rsidR="00D44343" w:rsidRPr="002D2F26">
        <w:rPr>
          <w:rFonts w:ascii="Bookman Old Style" w:hAnsi="Bookman Old Style"/>
          <w:noProof/>
          <w:sz w:val="22"/>
          <w:szCs w:val="22"/>
        </w:rPr>
        <w:t xml:space="preserve"> 4/20</w:t>
      </w:r>
      <w:r w:rsidR="00D44343">
        <w:rPr>
          <w:rFonts w:ascii="Bookman Old Style" w:hAnsi="Bookman Old Style"/>
          <w:noProof/>
          <w:sz w:val="22"/>
          <w:szCs w:val="22"/>
        </w:rPr>
        <w:t xml:space="preserve">. i 4/21) </w:t>
      </w:r>
      <w:r w:rsidR="00D44343" w:rsidRPr="002D2F26">
        <w:rPr>
          <w:rFonts w:ascii="Bookman Old Style" w:hAnsi="Bookman Old Style"/>
          <w:noProof/>
          <w:sz w:val="22"/>
          <w:szCs w:val="22"/>
        </w:rPr>
        <w:t>Općinsko vijeće Općine Peteranec</w:t>
      </w:r>
      <w:r>
        <w:rPr>
          <w:rFonts w:ascii="Bookman Old Style" w:hAnsi="Bookman Old Style"/>
          <w:noProof/>
          <w:sz w:val="22"/>
          <w:szCs w:val="22"/>
        </w:rPr>
        <w:t xml:space="preserve"> na 21</w:t>
      </w:r>
      <w:r w:rsidR="00D44343" w:rsidRPr="00B66541">
        <w:rPr>
          <w:rFonts w:ascii="Bookman Old Style" w:hAnsi="Bookman Old Style"/>
          <w:noProof/>
          <w:sz w:val="22"/>
          <w:szCs w:val="22"/>
        </w:rPr>
        <w:t xml:space="preserve">. </w:t>
      </w:r>
      <w:r w:rsidR="00D44343" w:rsidRPr="002D2F26">
        <w:rPr>
          <w:rFonts w:ascii="Bookman Old Style" w:hAnsi="Bookman Old Style"/>
          <w:noProof/>
          <w:sz w:val="22"/>
          <w:szCs w:val="22"/>
        </w:rPr>
        <w:t>sjednici održanoj </w:t>
      </w:r>
      <w:r w:rsidR="005E4F4D">
        <w:rPr>
          <w:rFonts w:ascii="Bookman Old Style" w:hAnsi="Bookman Old Style"/>
          <w:noProof/>
          <w:color w:val="000000" w:themeColor="text1"/>
          <w:sz w:val="22"/>
          <w:szCs w:val="22"/>
        </w:rPr>
        <w:t>30. prosinca</w:t>
      </w:r>
      <w:r w:rsidR="00D44343" w:rsidRPr="00E7426F">
        <w:rPr>
          <w:rFonts w:ascii="Bookman Old Style" w:hAnsi="Bookman Old Style"/>
          <w:noProof/>
          <w:color w:val="000000" w:themeColor="text1"/>
          <w:sz w:val="22"/>
          <w:szCs w:val="22"/>
        </w:rPr>
        <w:t xml:space="preserve"> 2022., donijelo </w:t>
      </w:r>
      <w:r w:rsidR="00D44343" w:rsidRPr="002D2F26">
        <w:rPr>
          <w:rFonts w:ascii="Bookman Old Style" w:hAnsi="Bookman Old Style"/>
          <w:noProof/>
          <w:sz w:val="22"/>
          <w:szCs w:val="22"/>
        </w:rPr>
        <w:t xml:space="preserve">je </w:t>
      </w:r>
    </w:p>
    <w:p w:rsidR="00D44343" w:rsidRDefault="00D44343" w:rsidP="00D44343">
      <w:pPr>
        <w:pStyle w:val="Bezproreda"/>
        <w:jc w:val="center"/>
        <w:rPr>
          <w:rFonts w:ascii="Bookman Old Style" w:hAnsi="Bookman Old Style"/>
          <w:b/>
          <w:noProof/>
          <w:sz w:val="22"/>
          <w:szCs w:val="22"/>
        </w:rPr>
      </w:pPr>
    </w:p>
    <w:p w:rsidR="00D44343" w:rsidRDefault="00D44343" w:rsidP="00D44343">
      <w:pPr>
        <w:pStyle w:val="Bezproreda"/>
        <w:jc w:val="center"/>
        <w:rPr>
          <w:rFonts w:ascii="Bookman Old Style" w:hAnsi="Bookman Old Style"/>
          <w:b/>
          <w:noProof/>
          <w:sz w:val="22"/>
          <w:szCs w:val="22"/>
        </w:rPr>
      </w:pPr>
      <w:r w:rsidRPr="002D2F26">
        <w:rPr>
          <w:rFonts w:ascii="Bookman Old Style" w:hAnsi="Bookman Old Style"/>
          <w:b/>
          <w:noProof/>
          <w:sz w:val="22"/>
          <w:szCs w:val="22"/>
        </w:rPr>
        <w:t>P</w:t>
      </w:r>
      <w:r>
        <w:rPr>
          <w:rFonts w:ascii="Bookman Old Style" w:hAnsi="Bookman Old Style"/>
          <w:b/>
          <w:noProof/>
          <w:sz w:val="22"/>
          <w:szCs w:val="22"/>
        </w:rPr>
        <w:t xml:space="preserve"> </w:t>
      </w:r>
      <w:r w:rsidRPr="002D2F26">
        <w:rPr>
          <w:rFonts w:ascii="Bookman Old Style" w:hAnsi="Bookman Old Style"/>
          <w:b/>
          <w:noProof/>
          <w:sz w:val="22"/>
          <w:szCs w:val="22"/>
        </w:rPr>
        <w:t>R</w:t>
      </w:r>
      <w:r>
        <w:rPr>
          <w:rFonts w:ascii="Bookman Old Style" w:hAnsi="Bookman Old Style"/>
          <w:b/>
          <w:noProof/>
          <w:sz w:val="22"/>
          <w:szCs w:val="22"/>
        </w:rPr>
        <w:t xml:space="preserve"> </w:t>
      </w:r>
      <w:r w:rsidRPr="002D2F26">
        <w:rPr>
          <w:rFonts w:ascii="Bookman Old Style" w:hAnsi="Bookman Old Style"/>
          <w:b/>
          <w:noProof/>
          <w:sz w:val="22"/>
          <w:szCs w:val="22"/>
        </w:rPr>
        <w:t>O</w:t>
      </w:r>
      <w:r>
        <w:rPr>
          <w:rFonts w:ascii="Bookman Old Style" w:hAnsi="Bookman Old Style"/>
          <w:b/>
          <w:noProof/>
          <w:sz w:val="22"/>
          <w:szCs w:val="22"/>
        </w:rPr>
        <w:t xml:space="preserve"> </w:t>
      </w:r>
      <w:r w:rsidRPr="002D2F26">
        <w:rPr>
          <w:rFonts w:ascii="Bookman Old Style" w:hAnsi="Bookman Old Style"/>
          <w:b/>
          <w:noProof/>
          <w:sz w:val="22"/>
          <w:szCs w:val="22"/>
        </w:rPr>
        <w:t>G</w:t>
      </w:r>
      <w:r>
        <w:rPr>
          <w:rFonts w:ascii="Bookman Old Style" w:hAnsi="Bookman Old Style"/>
          <w:b/>
          <w:noProof/>
          <w:sz w:val="22"/>
          <w:szCs w:val="22"/>
        </w:rPr>
        <w:t xml:space="preserve"> </w:t>
      </w:r>
      <w:r w:rsidRPr="002D2F26">
        <w:rPr>
          <w:rFonts w:ascii="Bookman Old Style" w:hAnsi="Bookman Old Style"/>
          <w:b/>
          <w:noProof/>
          <w:sz w:val="22"/>
          <w:szCs w:val="22"/>
        </w:rPr>
        <w:t>R</w:t>
      </w:r>
      <w:r>
        <w:rPr>
          <w:rFonts w:ascii="Bookman Old Style" w:hAnsi="Bookman Old Style"/>
          <w:b/>
          <w:noProof/>
          <w:sz w:val="22"/>
          <w:szCs w:val="22"/>
        </w:rPr>
        <w:t xml:space="preserve"> </w:t>
      </w:r>
      <w:r w:rsidRPr="002D2F26">
        <w:rPr>
          <w:rFonts w:ascii="Bookman Old Style" w:hAnsi="Bookman Old Style"/>
          <w:b/>
          <w:noProof/>
          <w:sz w:val="22"/>
          <w:szCs w:val="22"/>
        </w:rPr>
        <w:t>A</w:t>
      </w:r>
      <w:r>
        <w:rPr>
          <w:rFonts w:ascii="Bookman Old Style" w:hAnsi="Bookman Old Style"/>
          <w:b/>
          <w:noProof/>
          <w:sz w:val="22"/>
          <w:szCs w:val="22"/>
        </w:rPr>
        <w:t xml:space="preserve"> </w:t>
      </w:r>
      <w:r w:rsidRPr="002D2F26">
        <w:rPr>
          <w:rFonts w:ascii="Bookman Old Style" w:hAnsi="Bookman Old Style"/>
          <w:b/>
          <w:noProof/>
          <w:sz w:val="22"/>
          <w:szCs w:val="22"/>
        </w:rPr>
        <w:t xml:space="preserve">M </w:t>
      </w:r>
    </w:p>
    <w:p w:rsidR="00D44343" w:rsidRPr="002D2F26" w:rsidRDefault="00D44343" w:rsidP="00D44343">
      <w:pPr>
        <w:pStyle w:val="Bezproreda"/>
        <w:jc w:val="center"/>
        <w:rPr>
          <w:rFonts w:ascii="Bookman Old Style" w:hAnsi="Bookman Old Style"/>
          <w:b/>
          <w:noProof/>
          <w:sz w:val="22"/>
          <w:szCs w:val="22"/>
        </w:rPr>
      </w:pPr>
      <w:r w:rsidRPr="002D2F26">
        <w:rPr>
          <w:rFonts w:ascii="Bookman Old Style" w:hAnsi="Bookman Old Style"/>
          <w:b/>
          <w:noProof/>
          <w:sz w:val="22"/>
          <w:szCs w:val="22"/>
        </w:rPr>
        <w:t>o izmjenama</w:t>
      </w:r>
      <w:r>
        <w:rPr>
          <w:rFonts w:ascii="Bookman Old Style" w:hAnsi="Bookman Old Style"/>
          <w:b/>
          <w:noProof/>
          <w:sz w:val="22"/>
          <w:szCs w:val="22"/>
        </w:rPr>
        <w:t xml:space="preserve"> </w:t>
      </w:r>
      <w:r w:rsidRPr="002D2F26">
        <w:rPr>
          <w:rFonts w:ascii="Bookman Old Style" w:hAnsi="Bookman Old Style"/>
          <w:b/>
          <w:noProof/>
          <w:sz w:val="22"/>
          <w:szCs w:val="22"/>
        </w:rPr>
        <w:t>Programa</w:t>
      </w:r>
      <w:r>
        <w:rPr>
          <w:rFonts w:ascii="Bookman Old Style" w:hAnsi="Bookman Old Style"/>
          <w:b/>
          <w:noProof/>
          <w:sz w:val="22"/>
          <w:szCs w:val="22"/>
        </w:rPr>
        <w:t xml:space="preserve"> </w:t>
      </w:r>
      <w:r w:rsidRPr="002D2F26">
        <w:rPr>
          <w:rFonts w:ascii="Bookman Old Style" w:hAnsi="Bookman Old Style"/>
          <w:b/>
          <w:noProof/>
          <w:sz w:val="22"/>
          <w:szCs w:val="22"/>
        </w:rPr>
        <w:t xml:space="preserve">građenja komunalne infrastrukture </w:t>
      </w:r>
    </w:p>
    <w:p w:rsidR="00D44343" w:rsidRPr="002D2F26" w:rsidRDefault="00D44343" w:rsidP="00D44343">
      <w:pPr>
        <w:pStyle w:val="Bezproreda"/>
        <w:jc w:val="center"/>
        <w:rPr>
          <w:rFonts w:ascii="Bookman Old Style" w:hAnsi="Bookman Old Style"/>
          <w:b/>
          <w:noProof/>
          <w:sz w:val="22"/>
          <w:szCs w:val="22"/>
        </w:rPr>
      </w:pPr>
      <w:r w:rsidRPr="002D2F26">
        <w:rPr>
          <w:rFonts w:ascii="Bookman Old Style" w:hAnsi="Bookman Old Style"/>
          <w:b/>
          <w:noProof/>
          <w:sz w:val="22"/>
          <w:szCs w:val="22"/>
        </w:rPr>
        <w:t>na području Općine Peteranec za 202</w:t>
      </w:r>
      <w:r>
        <w:rPr>
          <w:rFonts w:ascii="Bookman Old Style" w:hAnsi="Bookman Old Style"/>
          <w:b/>
          <w:noProof/>
          <w:sz w:val="22"/>
          <w:szCs w:val="22"/>
        </w:rPr>
        <w:t>2</w:t>
      </w:r>
      <w:r w:rsidRPr="002D2F26">
        <w:rPr>
          <w:rFonts w:ascii="Bookman Old Style" w:hAnsi="Bookman Old Style"/>
          <w:b/>
          <w:noProof/>
          <w:sz w:val="22"/>
          <w:szCs w:val="22"/>
        </w:rPr>
        <w:t>. godinu</w:t>
      </w:r>
    </w:p>
    <w:p w:rsidR="00D44343" w:rsidRDefault="00D44343" w:rsidP="00D44343">
      <w:pPr>
        <w:pStyle w:val="Bezproreda"/>
        <w:jc w:val="center"/>
        <w:rPr>
          <w:rFonts w:ascii="Bookman Old Style" w:hAnsi="Bookman Old Style"/>
          <w:b/>
          <w:noProof/>
          <w:sz w:val="22"/>
          <w:szCs w:val="22"/>
        </w:rPr>
      </w:pPr>
    </w:p>
    <w:p w:rsidR="00D44343" w:rsidRPr="002D2F26" w:rsidRDefault="00D44343" w:rsidP="00D44343">
      <w:pPr>
        <w:pStyle w:val="Bezproreda"/>
        <w:jc w:val="center"/>
        <w:rPr>
          <w:rFonts w:ascii="Bookman Old Style" w:hAnsi="Bookman Old Style"/>
          <w:b/>
          <w:noProof/>
          <w:sz w:val="22"/>
          <w:szCs w:val="22"/>
        </w:rPr>
      </w:pPr>
    </w:p>
    <w:p w:rsidR="00D44343" w:rsidRPr="002D2F26" w:rsidRDefault="00D44343" w:rsidP="00D44343">
      <w:pPr>
        <w:jc w:val="center"/>
        <w:rPr>
          <w:rFonts w:ascii="Bookman Old Style" w:hAnsi="Bookman Old Style" w:cs="Calibri"/>
          <w:b/>
          <w:noProof/>
          <w:sz w:val="22"/>
          <w:szCs w:val="22"/>
        </w:rPr>
      </w:pPr>
      <w:r w:rsidRPr="002D2F26">
        <w:rPr>
          <w:rFonts w:ascii="Bookman Old Style" w:hAnsi="Bookman Old Style" w:cs="Calibri"/>
          <w:b/>
          <w:noProof/>
          <w:sz w:val="22"/>
          <w:szCs w:val="22"/>
        </w:rPr>
        <w:t>I.</w:t>
      </w:r>
    </w:p>
    <w:p w:rsidR="00D44343" w:rsidRPr="000D79C0" w:rsidRDefault="00D44343" w:rsidP="00D44343">
      <w:pPr>
        <w:jc w:val="both"/>
        <w:rPr>
          <w:rFonts w:ascii="Bookman Old Style" w:hAnsi="Bookman Old Style" w:cs="Calibri"/>
          <w:noProof/>
          <w:color w:val="FF0000"/>
          <w:sz w:val="22"/>
          <w:szCs w:val="22"/>
        </w:rPr>
      </w:pPr>
      <w:r w:rsidRPr="002D2F26">
        <w:rPr>
          <w:rFonts w:ascii="Bookman Old Style" w:hAnsi="Bookman Old Style" w:cs="Calibri"/>
          <w:noProof/>
          <w:sz w:val="22"/>
          <w:szCs w:val="22"/>
        </w:rPr>
        <w:tab/>
        <w:t>U Programu građenja komunalne infrastrukture na području Općine Peteranec za</w:t>
      </w:r>
      <w:r>
        <w:rPr>
          <w:rFonts w:ascii="Bookman Old Style" w:hAnsi="Bookman Old Style" w:cs="Calibri"/>
          <w:noProof/>
          <w:sz w:val="22"/>
          <w:szCs w:val="22"/>
        </w:rPr>
        <w:t xml:space="preserve"> 2022</w:t>
      </w:r>
      <w:r w:rsidRPr="002D2F26">
        <w:rPr>
          <w:rFonts w:ascii="Bookman Old Style" w:hAnsi="Bookman Old Style" w:cs="Calibri"/>
          <w:noProof/>
          <w:sz w:val="22"/>
          <w:szCs w:val="22"/>
        </w:rPr>
        <w:t>. godinu (</w:t>
      </w:r>
      <w:r>
        <w:rPr>
          <w:rFonts w:ascii="Bookman Old Style" w:hAnsi="Bookman Old Style" w:cs="Calibri"/>
          <w:noProof/>
          <w:sz w:val="22"/>
          <w:szCs w:val="22"/>
        </w:rPr>
        <w:t>„</w:t>
      </w:r>
      <w:r w:rsidRPr="002D2F26">
        <w:rPr>
          <w:rFonts w:ascii="Bookman Old Style" w:hAnsi="Bookman Old Style" w:cs="Calibri"/>
          <w:noProof/>
          <w:sz w:val="22"/>
          <w:szCs w:val="22"/>
        </w:rPr>
        <w:t xml:space="preserve">Službeni glasnik Koprivničko-križevačke županije“ broj </w:t>
      </w:r>
      <w:r w:rsidR="00B035A7">
        <w:rPr>
          <w:rFonts w:ascii="Bookman Old Style" w:hAnsi="Bookman Old Style" w:cs="Calibri"/>
          <w:noProof/>
          <w:sz w:val="22"/>
          <w:szCs w:val="22"/>
        </w:rPr>
        <w:t>31/21,</w:t>
      </w:r>
      <w:r>
        <w:rPr>
          <w:rFonts w:ascii="Bookman Old Style" w:hAnsi="Bookman Old Style" w:cs="Calibri"/>
          <w:noProof/>
          <w:sz w:val="22"/>
          <w:szCs w:val="22"/>
        </w:rPr>
        <w:t xml:space="preserve"> </w:t>
      </w:r>
      <w:r w:rsidRPr="00E7426F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21/22</w:t>
      </w:r>
      <w:r w:rsidR="00083507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.</w:t>
      </w:r>
      <w:r w:rsidR="00B035A7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 xml:space="preserve"> i </w:t>
      </w:r>
      <w:r w:rsidR="00083507" w:rsidRPr="00083507">
        <w:rPr>
          <w:rFonts w:ascii="Bookman Old Style" w:hAnsi="Bookman Old Style" w:cs="Calibri"/>
          <w:noProof/>
          <w:sz w:val="22"/>
          <w:szCs w:val="22"/>
        </w:rPr>
        <w:t>37</w:t>
      </w:r>
      <w:r w:rsidR="00B035A7" w:rsidRPr="00083507">
        <w:rPr>
          <w:rFonts w:ascii="Bookman Old Style" w:hAnsi="Bookman Old Style" w:cs="Calibri"/>
          <w:noProof/>
          <w:sz w:val="22"/>
          <w:szCs w:val="22"/>
        </w:rPr>
        <w:t>/22</w:t>
      </w:r>
      <w:r w:rsidRPr="00083507">
        <w:rPr>
          <w:rFonts w:ascii="Bookman Old Style" w:hAnsi="Bookman Old Style" w:cs="Calibri"/>
          <w:noProof/>
          <w:sz w:val="22"/>
          <w:szCs w:val="22"/>
        </w:rPr>
        <w:t xml:space="preserve">) </w:t>
      </w:r>
      <w:r w:rsidRPr="002D2F26">
        <w:rPr>
          <w:rFonts w:ascii="Bookman Old Style" w:hAnsi="Bookman Old Style" w:cs="Calibri"/>
          <w:noProof/>
          <w:sz w:val="22"/>
          <w:szCs w:val="22"/>
        </w:rPr>
        <w:t>(u daljnjem tekstu:</w:t>
      </w:r>
      <w:r>
        <w:rPr>
          <w:rFonts w:ascii="Bookman Old Style" w:hAnsi="Bookman Old Style" w:cs="Calibri"/>
          <w:noProof/>
          <w:sz w:val="22"/>
          <w:szCs w:val="22"/>
        </w:rPr>
        <w:t xml:space="preserve"> Program), </w:t>
      </w:r>
    </w:p>
    <w:p w:rsidR="00D44343" w:rsidRDefault="00D44343" w:rsidP="00D44343">
      <w:pPr>
        <w:jc w:val="both"/>
        <w:rPr>
          <w:rFonts w:ascii="Bookman Old Style" w:hAnsi="Bookman Old Style" w:cs="Calibri"/>
          <w:noProof/>
          <w:color w:val="000000" w:themeColor="text1"/>
          <w:sz w:val="22"/>
          <w:szCs w:val="22"/>
        </w:rPr>
      </w:pPr>
      <w:r w:rsidRPr="000D79C0">
        <w:rPr>
          <w:rFonts w:ascii="Bookman Old Style" w:hAnsi="Bookman Old Style" w:cs="Calibri"/>
          <w:noProof/>
          <w:color w:val="FF0000"/>
          <w:sz w:val="22"/>
          <w:szCs w:val="22"/>
        </w:rPr>
        <w:tab/>
      </w:r>
      <w:r w:rsidRPr="000D6093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U točki III.</w:t>
      </w:r>
      <w:r w:rsidR="00EB2BD9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,</w:t>
      </w:r>
      <w:r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 xml:space="preserve"> stavku 2 mjenjaju se  tablice i glase:</w:t>
      </w:r>
      <w:r w:rsidRPr="000D6093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 xml:space="preserve"> </w:t>
      </w:r>
    </w:p>
    <w:p w:rsidR="00D44343" w:rsidRDefault="00D44343" w:rsidP="00D44343">
      <w:pPr>
        <w:jc w:val="both"/>
        <w:rPr>
          <w:rFonts w:ascii="Bookman Old Style" w:hAnsi="Bookman Old Style" w:cs="Calibri"/>
          <w:noProof/>
          <w:color w:val="000000" w:themeColor="text1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679"/>
        <w:gridCol w:w="2863"/>
      </w:tblGrid>
      <w:tr w:rsidR="00D44343" w:rsidRPr="004C10D1" w:rsidTr="00D45B3D">
        <w:tc>
          <w:tcPr>
            <w:tcW w:w="9072" w:type="dxa"/>
            <w:gridSpan w:val="3"/>
            <w:shd w:val="clear" w:color="auto" w:fill="D9D9D9"/>
          </w:tcPr>
          <w:p w:rsidR="00D44343" w:rsidRPr="006D7491" w:rsidRDefault="00D44343" w:rsidP="00D45B3D">
            <w:pPr>
              <w:pStyle w:val="Paragraf11"/>
              <w:ind w:left="-392" w:firstLine="426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NERAZVRSTANE CESTE – 550</w:t>
            </w: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.000,00 kn</w:t>
            </w:r>
          </w:p>
        </w:tc>
      </w:tr>
      <w:tr w:rsidR="00D44343" w:rsidRPr="004C10D1" w:rsidTr="00D45B3D">
        <w:tc>
          <w:tcPr>
            <w:tcW w:w="1530" w:type="dxa"/>
            <w:shd w:val="clear" w:color="auto" w:fill="D9D9D9"/>
          </w:tcPr>
          <w:p w:rsidR="00D44343" w:rsidRPr="004C10D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Cs w:val="24"/>
              </w:rPr>
            </w:pPr>
            <w:bookmarkStart w:id="0" w:name="_Hlk532808123"/>
            <w:r w:rsidRPr="004C10D1">
              <w:rPr>
                <w:rFonts w:ascii="Bookman Old Style" w:eastAsia="Calibri" w:hAnsi="Bookman Old Style"/>
                <w:b/>
                <w:szCs w:val="24"/>
              </w:rPr>
              <w:t>1.</w:t>
            </w:r>
          </w:p>
        </w:tc>
        <w:tc>
          <w:tcPr>
            <w:tcW w:w="4679" w:type="dxa"/>
            <w:shd w:val="clear" w:color="auto" w:fill="D9D9D9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Asfaltiranje</w:t>
            </w: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 i sanacija  nerazvrstanih cesta </w:t>
            </w:r>
          </w:p>
        </w:tc>
        <w:tc>
          <w:tcPr>
            <w:tcW w:w="2863" w:type="dxa"/>
            <w:shd w:val="clear" w:color="auto" w:fill="D9D9D9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Planirano:</w:t>
            </w:r>
          </w:p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0,00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kn</w:t>
            </w:r>
          </w:p>
        </w:tc>
      </w:tr>
      <w:tr w:rsidR="00D44343" w:rsidRPr="004C10D1" w:rsidTr="00D45B3D">
        <w:tc>
          <w:tcPr>
            <w:tcW w:w="9072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Namjena i cilj: 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Asfaltiranje cca  1000 m</w:t>
            </w:r>
            <w:r w:rsidRPr="006D7491">
              <w:rPr>
                <w:rFonts w:ascii="Bookman Old Style" w:eastAsia="Calibri" w:hAnsi="Bookman Old Style"/>
                <w:color w:val="FF0000"/>
                <w:sz w:val="22"/>
                <w:szCs w:val="22"/>
              </w:rPr>
              <w:t xml:space="preserve"> 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cesta na području naselja Sigetec koja je zbog dotrajalosti potrebno obnoviti.</w:t>
            </w:r>
          </w:p>
        </w:tc>
      </w:tr>
      <w:tr w:rsidR="00D44343" w:rsidRPr="004C10D1" w:rsidTr="00D45B3D">
        <w:tc>
          <w:tcPr>
            <w:tcW w:w="9072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Građevine se gradi radi uređenja uređenih dijelova u građevinskom području.</w:t>
            </w:r>
          </w:p>
        </w:tc>
      </w:tr>
      <w:tr w:rsidR="00D44343" w:rsidRPr="004C10D1" w:rsidTr="00D45B3D">
        <w:tc>
          <w:tcPr>
            <w:tcW w:w="6209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Izgradnja: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0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,00 kn</w:t>
            </w:r>
          </w:p>
        </w:tc>
      </w:tr>
      <w:tr w:rsidR="00D44343" w:rsidRPr="004C10D1" w:rsidTr="00D45B3D">
        <w:tc>
          <w:tcPr>
            <w:tcW w:w="6209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Projektna dokumentacija: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 </w:t>
            </w:r>
            <w:r>
              <w:rPr>
                <w:rFonts w:ascii="Bookman Old Style" w:eastAsia="Calibri" w:hAnsi="Bookman Old Style"/>
                <w:sz w:val="22"/>
                <w:szCs w:val="22"/>
              </w:rPr>
              <w:t>0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,00 kn</w:t>
            </w:r>
          </w:p>
        </w:tc>
      </w:tr>
      <w:tr w:rsidR="00D44343" w:rsidRPr="004C10D1" w:rsidTr="00D45B3D">
        <w:tc>
          <w:tcPr>
            <w:tcW w:w="62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Nadzor nad radovima: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 </w:t>
            </w:r>
            <w:r>
              <w:rPr>
                <w:rFonts w:ascii="Bookman Old Style" w:eastAsia="Calibri" w:hAnsi="Bookman Old Style"/>
                <w:sz w:val="22"/>
                <w:szCs w:val="22"/>
              </w:rPr>
              <w:t>0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,00 kn</w:t>
            </w:r>
          </w:p>
        </w:tc>
      </w:tr>
      <w:tr w:rsidR="00D44343" w:rsidRPr="004C10D1" w:rsidTr="00D45B3D">
        <w:tc>
          <w:tcPr>
            <w:tcW w:w="62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Izvori financiranja: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0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,00 kn Županijska uprava za ceste  (za izgradnju)</w:t>
            </w:r>
          </w:p>
          <w:p w:rsidR="00D44343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0,00 kn Opći prihodi i primici</w:t>
            </w:r>
          </w:p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  <w:tr w:rsidR="00D44343" w:rsidRPr="004C10D1" w:rsidTr="00EB2BD9">
        <w:tc>
          <w:tcPr>
            <w:tcW w:w="6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2BD9" w:rsidRPr="004C10D1" w:rsidRDefault="00EB2BD9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4343" w:rsidRPr="004C10D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Cs w:val="24"/>
              </w:rPr>
            </w:pPr>
          </w:p>
        </w:tc>
      </w:tr>
      <w:bookmarkEnd w:id="0"/>
      <w:tr w:rsidR="00D44343" w:rsidRPr="004C10D1" w:rsidTr="00EB2BD9">
        <w:trPr>
          <w:trHeight w:val="590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D0CECE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D0CECE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 w:cs="Calibri"/>
                <w:b/>
                <w:sz w:val="22"/>
                <w:szCs w:val="22"/>
              </w:rPr>
              <w:t>Asfaltiranje nerazvrstane ceste – F</w:t>
            </w:r>
            <w:r>
              <w:rPr>
                <w:rFonts w:ascii="Bookman Old Style" w:eastAsia="Calibri" w:hAnsi="Bookman Old Style" w:cs="Calibri"/>
                <w:b/>
                <w:sz w:val="22"/>
                <w:szCs w:val="22"/>
              </w:rPr>
              <w:t>rana</w:t>
            </w:r>
            <w:r w:rsidRPr="006D7491">
              <w:rPr>
                <w:rFonts w:ascii="Bookman Old Style" w:eastAsia="Calibri" w:hAnsi="Bookman Old Style" w:cs="Calibri"/>
                <w:b/>
                <w:sz w:val="22"/>
                <w:szCs w:val="22"/>
              </w:rPr>
              <w:t xml:space="preserve"> Galovića u </w:t>
            </w:r>
            <w:proofErr w:type="spellStart"/>
            <w:r w:rsidRPr="006D7491">
              <w:rPr>
                <w:rFonts w:ascii="Bookman Old Style" w:eastAsia="Calibri" w:hAnsi="Bookman Old Style" w:cs="Calibri"/>
                <w:b/>
                <w:sz w:val="22"/>
                <w:szCs w:val="22"/>
              </w:rPr>
              <w:t>Peterancu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0CECE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Planirano:</w:t>
            </w:r>
          </w:p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550</w:t>
            </w: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.000,00 kn</w:t>
            </w:r>
          </w:p>
        </w:tc>
      </w:tr>
      <w:tr w:rsidR="00D44343" w:rsidRPr="004C10D1" w:rsidTr="00D45B3D">
        <w:tc>
          <w:tcPr>
            <w:tcW w:w="9072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Namjena i cilj: 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Asfaltiranje cca  800 m</w:t>
            </w:r>
            <w:r w:rsidRPr="006D7491">
              <w:rPr>
                <w:rFonts w:ascii="Bookman Old Style" w:eastAsia="Calibri" w:hAnsi="Bookman Old Style"/>
                <w:color w:val="FF0000"/>
                <w:sz w:val="22"/>
                <w:szCs w:val="22"/>
              </w:rPr>
              <w:t xml:space="preserve"> 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c</w:t>
            </w:r>
            <w:r>
              <w:rPr>
                <w:rFonts w:ascii="Bookman Old Style" w:eastAsia="Calibri" w:hAnsi="Bookman Old Style"/>
                <w:sz w:val="22"/>
                <w:szCs w:val="22"/>
              </w:rPr>
              <w:t>esta na području naselja Peteranec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koja je zbog dotrajalosti potrebno obnoviti.</w:t>
            </w:r>
          </w:p>
        </w:tc>
      </w:tr>
      <w:tr w:rsidR="00D44343" w:rsidRPr="004C10D1" w:rsidTr="00D45B3D">
        <w:tc>
          <w:tcPr>
            <w:tcW w:w="9072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Građevina se gradi radi uređenja uređenih dijelova djelomično unutar i djelomično izvan građevinskog područja.</w:t>
            </w:r>
          </w:p>
        </w:tc>
      </w:tr>
      <w:tr w:rsidR="00D44343" w:rsidRPr="004C10D1" w:rsidTr="00D45B3D">
        <w:tc>
          <w:tcPr>
            <w:tcW w:w="6209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Izgradnja: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 xml:space="preserve">                  535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.000,00</w:t>
            </w:r>
          </w:p>
        </w:tc>
      </w:tr>
      <w:tr w:rsidR="00D44343" w:rsidRPr="004C10D1" w:rsidTr="00D45B3D">
        <w:tc>
          <w:tcPr>
            <w:tcW w:w="6209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Nadzor nad radovima: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                    15.000,00</w:t>
            </w:r>
          </w:p>
        </w:tc>
      </w:tr>
      <w:tr w:rsidR="00D44343" w:rsidRPr="004C10D1" w:rsidTr="00D45B3D">
        <w:tc>
          <w:tcPr>
            <w:tcW w:w="6209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Izvori financiranja: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230.000,00 kn Ministarstvo regionalnog razvoja i fondova EU (za izgradnju)</w:t>
            </w:r>
          </w:p>
          <w:p w:rsidR="00D44343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320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.000, 00 kn Opći prihodi i primici</w:t>
            </w:r>
          </w:p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</w:tbl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6"/>
        <w:gridCol w:w="5195"/>
        <w:gridCol w:w="3026"/>
      </w:tblGrid>
      <w:tr w:rsidR="00D44343" w:rsidTr="00D45B3D">
        <w:trPr>
          <w:trHeight w:val="707"/>
        </w:trPr>
        <w:tc>
          <w:tcPr>
            <w:tcW w:w="846" w:type="dxa"/>
            <w:shd w:val="clear" w:color="auto" w:fill="D0CECE" w:themeFill="background2" w:themeFillShade="E6"/>
          </w:tcPr>
          <w:p w:rsidR="00D44343" w:rsidRPr="004E166E" w:rsidRDefault="00D44343" w:rsidP="00D45B3D">
            <w:pPr>
              <w:jc w:val="both"/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</w:pPr>
            <w:r w:rsidRPr="004E166E"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lastRenderedPageBreak/>
              <w:t>3.</w:t>
            </w:r>
          </w:p>
        </w:tc>
        <w:tc>
          <w:tcPr>
            <w:tcW w:w="5195" w:type="dxa"/>
            <w:shd w:val="clear" w:color="auto" w:fill="D0CECE" w:themeFill="background2" w:themeFillShade="E6"/>
          </w:tcPr>
          <w:p w:rsidR="00D44343" w:rsidRPr="004E166E" w:rsidRDefault="00D44343" w:rsidP="00D45B3D">
            <w:pPr>
              <w:jc w:val="both"/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</w:pPr>
            <w:r w:rsidRPr="004E166E"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>Projektna dokumentacija za izgradnju prometnice od Peteranca do Herešina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:rsidR="00D44343" w:rsidRPr="004E166E" w:rsidRDefault="00D44343" w:rsidP="00D45B3D">
            <w:pPr>
              <w:jc w:val="both"/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</w:pPr>
            <w:r w:rsidRPr="004E166E"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>Planirano: 80.000,00</w:t>
            </w:r>
            <w:r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 xml:space="preserve"> kn</w:t>
            </w:r>
          </w:p>
        </w:tc>
      </w:tr>
      <w:tr w:rsidR="00D44343" w:rsidTr="00D45B3D">
        <w:trPr>
          <w:trHeight w:val="562"/>
        </w:trPr>
        <w:tc>
          <w:tcPr>
            <w:tcW w:w="9067" w:type="dxa"/>
            <w:gridSpan w:val="3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 w:rsidRPr="004E166E"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>Namjena i cilj:</w:t>
            </w: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 xml:space="preserve"> Izrada projektne dokumentacije za izgradnju ceste između naselja Peteranec u naselja Herešin u dužini cca 1,5 km </w:t>
            </w:r>
            <w:r w:rsidRPr="00EA2C17">
              <w:rPr>
                <w:rFonts w:ascii="Bookman Old Style" w:eastAsia="Calibri" w:hAnsi="Bookman Old Style"/>
                <w:sz w:val="22"/>
                <w:szCs w:val="24"/>
              </w:rPr>
              <w:t>radi povećanja prometne povezanosti i sigurnosti u prometu.</w:t>
            </w:r>
          </w:p>
        </w:tc>
      </w:tr>
      <w:tr w:rsidR="00D44343" w:rsidTr="00D45B3D">
        <w:trPr>
          <w:trHeight w:val="570"/>
        </w:trPr>
        <w:tc>
          <w:tcPr>
            <w:tcW w:w="9067" w:type="dxa"/>
            <w:gridSpan w:val="3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Građevina se gradi radi uređenja djelomično unutar i djelomično izvan građevinskog područja.</w:t>
            </w:r>
          </w:p>
        </w:tc>
      </w:tr>
      <w:tr w:rsidR="00D44343" w:rsidTr="00D45B3D">
        <w:tc>
          <w:tcPr>
            <w:tcW w:w="6041" w:type="dxa"/>
            <w:gridSpan w:val="2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Projektna dokumentacija:</w:t>
            </w:r>
          </w:p>
        </w:tc>
        <w:tc>
          <w:tcPr>
            <w:tcW w:w="3026" w:type="dxa"/>
          </w:tcPr>
          <w:p w:rsidR="00D44343" w:rsidRDefault="00D44343" w:rsidP="00D45B3D">
            <w:pPr>
              <w:jc w:val="center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80.000,00</w:t>
            </w:r>
          </w:p>
        </w:tc>
      </w:tr>
      <w:tr w:rsidR="00D44343" w:rsidTr="00D45B3D">
        <w:trPr>
          <w:trHeight w:val="567"/>
        </w:trPr>
        <w:tc>
          <w:tcPr>
            <w:tcW w:w="6041" w:type="dxa"/>
            <w:gridSpan w:val="2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Izvor financiranja:</w:t>
            </w:r>
          </w:p>
        </w:tc>
        <w:tc>
          <w:tcPr>
            <w:tcW w:w="3026" w:type="dxa"/>
          </w:tcPr>
          <w:p w:rsidR="00D44343" w:rsidRDefault="00B56F23" w:rsidP="00D45B3D">
            <w:pPr>
              <w:jc w:val="center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 xml:space="preserve">80.000,00 </w:t>
            </w:r>
            <w:r w:rsidR="00D44343">
              <w:rPr>
                <w:rFonts w:ascii="Bookman Old Style" w:hAnsi="Bookman Old Style" w:cs="Calibri"/>
                <w:noProof/>
                <w:sz w:val="22"/>
                <w:szCs w:val="22"/>
              </w:rPr>
              <w:t>Opći prihodi i primici</w:t>
            </w:r>
          </w:p>
        </w:tc>
      </w:tr>
    </w:tbl>
    <w:p w:rsidR="00D44343" w:rsidRDefault="00D44343" w:rsidP="00D44343">
      <w:pPr>
        <w:jc w:val="both"/>
        <w:rPr>
          <w:rFonts w:ascii="Bookman Old Style" w:hAnsi="Bookman Old Style" w:cs="Calibri"/>
          <w:noProof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D44343" w:rsidTr="00D45B3D">
        <w:trPr>
          <w:trHeight w:val="658"/>
        </w:trPr>
        <w:tc>
          <w:tcPr>
            <w:tcW w:w="846" w:type="dxa"/>
          </w:tcPr>
          <w:p w:rsidR="00D44343" w:rsidRPr="006306BA" w:rsidRDefault="00D44343" w:rsidP="00D45B3D">
            <w:pPr>
              <w:jc w:val="both"/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</w:pPr>
            <w:r w:rsidRPr="006306BA"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>4.</w:t>
            </w:r>
          </w:p>
        </w:tc>
        <w:tc>
          <w:tcPr>
            <w:tcW w:w="5195" w:type="dxa"/>
          </w:tcPr>
          <w:p w:rsidR="00D44343" w:rsidRPr="006306BA" w:rsidRDefault="00D44343" w:rsidP="00D45B3D">
            <w:pPr>
              <w:jc w:val="both"/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</w:pPr>
            <w:r w:rsidRPr="006306BA"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>Povećanje sigurnosti cestovnog prometa</w:t>
            </w:r>
          </w:p>
        </w:tc>
        <w:tc>
          <w:tcPr>
            <w:tcW w:w="3021" w:type="dxa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 xml:space="preserve">Planirano: </w:t>
            </w:r>
          </w:p>
          <w:p w:rsidR="00D44343" w:rsidRPr="006306BA" w:rsidRDefault="00D44343" w:rsidP="00D45B3D">
            <w:pPr>
              <w:jc w:val="both"/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>130.000</w:t>
            </w:r>
            <w:r w:rsidRPr="006306BA"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>,00 kn</w:t>
            </w:r>
          </w:p>
        </w:tc>
      </w:tr>
      <w:tr w:rsidR="00D44343" w:rsidTr="00D45B3D">
        <w:trPr>
          <w:trHeight w:val="554"/>
        </w:trPr>
        <w:tc>
          <w:tcPr>
            <w:tcW w:w="9062" w:type="dxa"/>
            <w:gridSpan w:val="3"/>
          </w:tcPr>
          <w:p w:rsidR="00D44343" w:rsidRPr="006306BA" w:rsidRDefault="00D44343" w:rsidP="00D45B3D">
            <w:pPr>
              <w:jc w:val="both"/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</w:pPr>
            <w:r w:rsidRPr="006306BA">
              <w:rPr>
                <w:rFonts w:ascii="Bookman Old Style" w:hAnsi="Bookman Old Style" w:cs="Calibri"/>
                <w:b/>
                <w:noProof/>
                <w:sz w:val="22"/>
                <w:szCs w:val="22"/>
              </w:rPr>
              <w:t xml:space="preserve">Namjena i cilj: </w:t>
            </w:r>
            <w:r w:rsidRPr="006306BA">
              <w:rPr>
                <w:rFonts w:ascii="Bookman Old Style" w:hAnsi="Bookman Old Style" w:cs="Calibri"/>
                <w:noProof/>
                <w:sz w:val="22"/>
                <w:szCs w:val="22"/>
              </w:rPr>
              <w:t>Izgradnja</w:t>
            </w: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 xml:space="preserve"> 5 uspornika prometa  u naseljima Peteranec i Sigetec radi povećanja sugurnosti u prometu za sve sudionike prometa.</w:t>
            </w:r>
          </w:p>
        </w:tc>
      </w:tr>
      <w:tr w:rsidR="00D44343" w:rsidTr="00D45B3D">
        <w:trPr>
          <w:trHeight w:val="562"/>
        </w:trPr>
        <w:tc>
          <w:tcPr>
            <w:tcW w:w="9062" w:type="dxa"/>
            <w:gridSpan w:val="3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Građevina se gradi radi uređenja unutar građevinskog područja.</w:t>
            </w:r>
          </w:p>
        </w:tc>
      </w:tr>
      <w:tr w:rsidR="00D44343" w:rsidTr="00D45B3D">
        <w:trPr>
          <w:trHeight w:val="274"/>
        </w:trPr>
        <w:tc>
          <w:tcPr>
            <w:tcW w:w="6041" w:type="dxa"/>
            <w:gridSpan w:val="2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Izgradnja:</w:t>
            </w:r>
          </w:p>
        </w:tc>
        <w:tc>
          <w:tcPr>
            <w:tcW w:w="3021" w:type="dxa"/>
          </w:tcPr>
          <w:p w:rsidR="00D44343" w:rsidRDefault="00D44343" w:rsidP="00D45B3D">
            <w:pPr>
              <w:jc w:val="center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120.000,00 kn</w:t>
            </w:r>
          </w:p>
        </w:tc>
      </w:tr>
      <w:tr w:rsidR="00D44343" w:rsidTr="00D45B3D">
        <w:tc>
          <w:tcPr>
            <w:tcW w:w="6041" w:type="dxa"/>
            <w:gridSpan w:val="2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Nadzor nad radovima:</w:t>
            </w:r>
          </w:p>
        </w:tc>
        <w:tc>
          <w:tcPr>
            <w:tcW w:w="3021" w:type="dxa"/>
          </w:tcPr>
          <w:p w:rsidR="00D44343" w:rsidRDefault="00D44343" w:rsidP="00D45B3D">
            <w:pPr>
              <w:jc w:val="center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3.000,00 kn</w:t>
            </w:r>
          </w:p>
        </w:tc>
      </w:tr>
      <w:tr w:rsidR="00D44343" w:rsidTr="00D45B3D">
        <w:tc>
          <w:tcPr>
            <w:tcW w:w="6041" w:type="dxa"/>
            <w:gridSpan w:val="2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Projektna dokumentacija:</w:t>
            </w:r>
          </w:p>
        </w:tc>
        <w:tc>
          <w:tcPr>
            <w:tcW w:w="3021" w:type="dxa"/>
          </w:tcPr>
          <w:p w:rsidR="00D44343" w:rsidRDefault="00D44343" w:rsidP="00D45B3D">
            <w:pPr>
              <w:jc w:val="center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7.000,00 kn</w:t>
            </w:r>
          </w:p>
        </w:tc>
      </w:tr>
      <w:tr w:rsidR="00D44343" w:rsidTr="00D45B3D">
        <w:trPr>
          <w:trHeight w:val="721"/>
        </w:trPr>
        <w:tc>
          <w:tcPr>
            <w:tcW w:w="6041" w:type="dxa"/>
            <w:gridSpan w:val="2"/>
          </w:tcPr>
          <w:p w:rsidR="00D44343" w:rsidRDefault="00D44343" w:rsidP="00D45B3D">
            <w:pPr>
              <w:jc w:val="both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 xml:space="preserve">Izvori financiranja: </w:t>
            </w:r>
          </w:p>
        </w:tc>
        <w:tc>
          <w:tcPr>
            <w:tcW w:w="3021" w:type="dxa"/>
          </w:tcPr>
          <w:p w:rsidR="00D44343" w:rsidRDefault="00D44343" w:rsidP="00D45B3D">
            <w:pPr>
              <w:jc w:val="center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47.000,00 kn Opći prihodi i primici</w:t>
            </w:r>
          </w:p>
          <w:p w:rsidR="00D44343" w:rsidRDefault="00D44343" w:rsidP="00D45B3D">
            <w:pPr>
              <w:jc w:val="center"/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83.000,00 kn Ministarstvo unutarnjih poslova (za izgradnju)</w:t>
            </w:r>
          </w:p>
        </w:tc>
      </w:tr>
    </w:tbl>
    <w:p w:rsidR="00D44343" w:rsidRDefault="00D44343" w:rsidP="00D44343">
      <w:pPr>
        <w:jc w:val="both"/>
        <w:rPr>
          <w:rFonts w:ascii="Bookman Old Style" w:hAnsi="Bookman Old Style" w:cs="Calibri"/>
          <w:noProof/>
          <w:color w:val="FF0000"/>
          <w:sz w:val="22"/>
          <w:szCs w:val="22"/>
        </w:rPr>
      </w:pPr>
    </w:p>
    <w:p w:rsidR="00D44343" w:rsidRDefault="00D44343" w:rsidP="00D44343">
      <w:pPr>
        <w:jc w:val="both"/>
        <w:rPr>
          <w:rFonts w:ascii="Bookman Old Style" w:hAnsi="Bookman Old Style" w:cs="Calibri"/>
          <w:noProof/>
          <w:color w:val="FF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879"/>
        <w:gridCol w:w="2971"/>
      </w:tblGrid>
      <w:tr w:rsidR="00D44343" w:rsidRPr="00C7042A" w:rsidTr="00D45B3D">
        <w:tc>
          <w:tcPr>
            <w:tcW w:w="9067" w:type="dxa"/>
            <w:gridSpan w:val="3"/>
            <w:shd w:val="clear" w:color="auto" w:fill="D9D9D9"/>
          </w:tcPr>
          <w:p w:rsidR="00D44343" w:rsidRPr="00FB65C5" w:rsidRDefault="00D44343" w:rsidP="00D45B3D">
            <w:pPr>
              <w:pStyle w:val="Paragraf11"/>
              <w:ind w:left="-108" w:right="-108" w:firstLine="0"/>
              <w:jc w:val="center"/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</w:pPr>
            <w:bookmarkStart w:id="1" w:name="_Hlk532808650"/>
            <w:r w:rsidRPr="00FB65C5"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  <w:t xml:space="preserve">JAVNE PROMETNE POVRŠINE NA KOJIMA NIJE DOPUŠTEN PROMET </w:t>
            </w:r>
          </w:p>
          <w:p w:rsidR="00D44343" w:rsidRPr="00FB65C5" w:rsidRDefault="00D44343" w:rsidP="00D45B3D">
            <w:pPr>
              <w:pStyle w:val="Paragraf11"/>
              <w:ind w:left="-108" w:right="-108" w:firstLine="0"/>
              <w:jc w:val="center"/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  <w:t>MOTORNIH VOZILA – 1.350.000,00 kn</w:t>
            </w:r>
          </w:p>
        </w:tc>
      </w:tr>
      <w:tr w:rsidR="00D44343" w:rsidRPr="00C7042A" w:rsidTr="00D45B3D">
        <w:tc>
          <w:tcPr>
            <w:tcW w:w="1217" w:type="dxa"/>
            <w:shd w:val="clear" w:color="auto" w:fill="D9D9D9"/>
          </w:tcPr>
          <w:p w:rsidR="00D44343" w:rsidRPr="00C7042A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color w:val="FF0000"/>
                <w:szCs w:val="24"/>
              </w:rPr>
            </w:pPr>
            <w:bookmarkStart w:id="2" w:name="_Hlk532808692"/>
            <w:bookmarkEnd w:id="1"/>
            <w:r w:rsidRPr="00023291">
              <w:rPr>
                <w:rFonts w:ascii="Bookman Old Style" w:eastAsia="Calibri" w:hAnsi="Bookman Old Style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4879" w:type="dxa"/>
            <w:shd w:val="clear" w:color="auto" w:fill="D9D9D9"/>
          </w:tcPr>
          <w:p w:rsidR="00D44343" w:rsidRPr="00FB65C5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 w:cs="Calibri"/>
                <w:b/>
                <w:color w:val="000000" w:themeColor="text1"/>
                <w:sz w:val="22"/>
                <w:szCs w:val="22"/>
              </w:rPr>
              <w:t xml:space="preserve">Izgradnja  pješačke staze u </w:t>
            </w:r>
            <w:proofErr w:type="spellStart"/>
            <w:r w:rsidRPr="00FB65C5">
              <w:rPr>
                <w:rFonts w:ascii="Bookman Old Style" w:eastAsia="Calibri" w:hAnsi="Bookman Old Style" w:cs="Calibri"/>
                <w:b/>
                <w:color w:val="000000" w:themeColor="text1"/>
                <w:sz w:val="22"/>
                <w:szCs w:val="22"/>
              </w:rPr>
              <w:t>Peterancu</w:t>
            </w:r>
            <w:proofErr w:type="spellEnd"/>
            <w:r w:rsidRPr="00FB65C5">
              <w:rPr>
                <w:rFonts w:ascii="Bookman Old Style" w:eastAsia="Calibri" w:hAnsi="Bookman Old Style" w:cs="Calibri"/>
                <w:b/>
                <w:color w:val="000000" w:themeColor="text1"/>
                <w:sz w:val="22"/>
                <w:szCs w:val="22"/>
              </w:rPr>
              <w:t xml:space="preserve"> (do groblja)</w:t>
            </w:r>
          </w:p>
        </w:tc>
        <w:tc>
          <w:tcPr>
            <w:tcW w:w="2971" w:type="dxa"/>
            <w:shd w:val="clear" w:color="auto" w:fill="D9D9D9"/>
          </w:tcPr>
          <w:p w:rsidR="00D44343" w:rsidRPr="00FB65C5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  <w:t>Planirano:</w:t>
            </w:r>
          </w:p>
          <w:p w:rsidR="00D44343" w:rsidRPr="00FB65C5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  <w:t>1.350.000,00 kn</w:t>
            </w:r>
          </w:p>
        </w:tc>
      </w:tr>
      <w:tr w:rsidR="00D44343" w:rsidRPr="00C7042A" w:rsidTr="00D45B3D">
        <w:tc>
          <w:tcPr>
            <w:tcW w:w="9067" w:type="dxa"/>
            <w:gridSpan w:val="3"/>
            <w:shd w:val="clear" w:color="auto" w:fill="auto"/>
          </w:tcPr>
          <w:p w:rsidR="00D44343" w:rsidRPr="00FB65C5" w:rsidRDefault="00D44343" w:rsidP="00D45B3D">
            <w:pPr>
              <w:pStyle w:val="Paragraf11"/>
              <w:spacing w:after="0"/>
              <w:ind w:firstLine="0"/>
              <w:jc w:val="left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b/>
                <w:color w:val="000000" w:themeColor="text1"/>
                <w:sz w:val="22"/>
                <w:szCs w:val="22"/>
              </w:rPr>
              <w:t xml:space="preserve">Namjena i cilj: </w:t>
            </w: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>Izgradnju pješačke staze na djelu ulice Matije Gupca i  između naselja Peteranec i naselja Drnje do groblja  u dužini 904,35 m radi povećanja prometne povezanosti i sigurnosti te povećanja sigurnosti  pješaka u prometu.</w:t>
            </w:r>
          </w:p>
        </w:tc>
      </w:tr>
      <w:tr w:rsidR="00D44343" w:rsidRPr="00C7042A" w:rsidTr="00D45B3D">
        <w:tc>
          <w:tcPr>
            <w:tcW w:w="9067" w:type="dxa"/>
            <w:gridSpan w:val="3"/>
            <w:shd w:val="clear" w:color="auto" w:fill="auto"/>
          </w:tcPr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>Građevina se gradi u uređenom dijelu djelomično unutar i djelomično izvan građevinskog područja.</w:t>
            </w:r>
          </w:p>
        </w:tc>
      </w:tr>
      <w:tr w:rsidR="00D44343" w:rsidRPr="00C7042A" w:rsidTr="00D45B3D">
        <w:tc>
          <w:tcPr>
            <w:tcW w:w="6096" w:type="dxa"/>
            <w:gridSpan w:val="2"/>
            <w:shd w:val="clear" w:color="auto" w:fill="auto"/>
          </w:tcPr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>Izgradnja:</w:t>
            </w:r>
          </w:p>
        </w:tc>
        <w:tc>
          <w:tcPr>
            <w:tcW w:w="2971" w:type="dxa"/>
            <w:shd w:val="clear" w:color="auto" w:fill="auto"/>
          </w:tcPr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>1.320.000,00 kn</w:t>
            </w:r>
          </w:p>
        </w:tc>
      </w:tr>
      <w:bookmarkEnd w:id="2"/>
      <w:tr w:rsidR="00D44343" w:rsidRPr="00C7042A" w:rsidTr="00D45B3D">
        <w:tc>
          <w:tcPr>
            <w:tcW w:w="6096" w:type="dxa"/>
            <w:gridSpan w:val="2"/>
            <w:shd w:val="clear" w:color="auto" w:fill="auto"/>
          </w:tcPr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>Nadzor nad radovima:</w:t>
            </w:r>
          </w:p>
        </w:tc>
        <w:tc>
          <w:tcPr>
            <w:tcW w:w="2971" w:type="dxa"/>
            <w:shd w:val="clear" w:color="auto" w:fill="auto"/>
          </w:tcPr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 xml:space="preserve">  30.000,00 kn</w:t>
            </w:r>
          </w:p>
        </w:tc>
      </w:tr>
      <w:tr w:rsidR="00D44343" w:rsidRPr="00C7042A" w:rsidTr="00D45B3D">
        <w:tc>
          <w:tcPr>
            <w:tcW w:w="6096" w:type="dxa"/>
            <w:gridSpan w:val="2"/>
            <w:shd w:val="clear" w:color="auto" w:fill="auto"/>
          </w:tcPr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>Izvori financiranja:</w:t>
            </w:r>
          </w:p>
        </w:tc>
        <w:tc>
          <w:tcPr>
            <w:tcW w:w="2971" w:type="dxa"/>
            <w:shd w:val="clear" w:color="auto" w:fill="auto"/>
          </w:tcPr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>900.000,00 kn Opći prihodi i primici</w:t>
            </w:r>
          </w:p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>250.000,00 kn</w:t>
            </w:r>
          </w:p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 xml:space="preserve"> Ministarstvo regionalnog razvoja i fondova EU (za izgradnju) </w:t>
            </w:r>
          </w:p>
          <w:p w:rsidR="00D44343" w:rsidRPr="00FB65C5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</w:pP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t>200.000,00 kn Koprivničko-</w:t>
            </w:r>
            <w:r w:rsidRPr="00FB65C5">
              <w:rPr>
                <w:rFonts w:ascii="Bookman Old Style" w:eastAsia="Calibri" w:hAnsi="Bookman Old Style"/>
                <w:color w:val="000000" w:themeColor="text1"/>
                <w:sz w:val="22"/>
                <w:szCs w:val="22"/>
              </w:rPr>
              <w:br/>
              <w:t>Križevačka županija</w:t>
            </w:r>
          </w:p>
        </w:tc>
      </w:tr>
    </w:tbl>
    <w:p w:rsidR="00D44343" w:rsidRDefault="00D44343" w:rsidP="00D44343">
      <w:pPr>
        <w:jc w:val="both"/>
        <w:rPr>
          <w:rFonts w:ascii="Bookman Old Style" w:hAnsi="Bookman Old Style" w:cs="Calibri"/>
          <w:noProof/>
          <w:color w:val="FF0000"/>
          <w:sz w:val="22"/>
          <w:szCs w:val="22"/>
        </w:rPr>
      </w:pPr>
    </w:p>
    <w:p w:rsidR="00D44343" w:rsidRDefault="00D44343" w:rsidP="00D44343">
      <w:pPr>
        <w:jc w:val="both"/>
        <w:rPr>
          <w:rFonts w:ascii="Bookman Old Style" w:hAnsi="Bookman Old Style" w:cs="Calibri"/>
          <w:noProof/>
          <w:color w:val="FF000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820"/>
        <w:gridCol w:w="2863"/>
      </w:tblGrid>
      <w:tr w:rsidR="00D44343" w:rsidRPr="004C10D1" w:rsidTr="00D45B3D">
        <w:tc>
          <w:tcPr>
            <w:tcW w:w="8959" w:type="dxa"/>
            <w:gridSpan w:val="3"/>
            <w:shd w:val="clear" w:color="auto" w:fill="D0CECE"/>
          </w:tcPr>
          <w:p w:rsidR="00D44343" w:rsidRPr="006D7491" w:rsidRDefault="00002BF8" w:rsidP="00D45B3D">
            <w:pPr>
              <w:pStyle w:val="Paragraf11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lastRenderedPageBreak/>
              <w:t>GROBLJA -  325</w:t>
            </w:r>
            <w:r w:rsidR="00D44343"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.000,00 kn</w:t>
            </w:r>
          </w:p>
        </w:tc>
      </w:tr>
      <w:tr w:rsidR="00D44343" w:rsidRPr="004C10D1" w:rsidTr="00D45B3D">
        <w:tc>
          <w:tcPr>
            <w:tcW w:w="1276" w:type="dxa"/>
            <w:shd w:val="clear" w:color="auto" w:fill="D0CECE"/>
          </w:tcPr>
          <w:p w:rsidR="00D44343" w:rsidRPr="004C10D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Cs w:val="24"/>
              </w:rPr>
            </w:pPr>
            <w:r w:rsidRPr="004C10D1">
              <w:rPr>
                <w:rFonts w:ascii="Bookman Old Style" w:eastAsia="Calibri" w:hAnsi="Bookman Old Style"/>
                <w:b/>
                <w:szCs w:val="24"/>
              </w:rPr>
              <w:t>1.</w:t>
            </w:r>
          </w:p>
        </w:tc>
        <w:tc>
          <w:tcPr>
            <w:tcW w:w="4820" w:type="dxa"/>
            <w:shd w:val="clear" w:color="auto" w:fill="D0CECE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Izgradnja ograde na groblju u </w:t>
            </w:r>
            <w:proofErr w:type="spellStart"/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Sigecu</w:t>
            </w:r>
            <w:proofErr w:type="spellEnd"/>
          </w:p>
        </w:tc>
        <w:tc>
          <w:tcPr>
            <w:tcW w:w="2863" w:type="dxa"/>
            <w:shd w:val="clear" w:color="auto" w:fill="D0CECE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Planirano:</w:t>
            </w:r>
          </w:p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325.000</w:t>
            </w: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,00 kn </w:t>
            </w:r>
          </w:p>
        </w:tc>
      </w:tr>
      <w:tr w:rsidR="00D44343" w:rsidRPr="004C10D1" w:rsidTr="00D45B3D">
        <w:tc>
          <w:tcPr>
            <w:tcW w:w="8959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Namjena i cilj: 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Izgraditi ogradu na groblju u </w:t>
            </w:r>
            <w:proofErr w:type="spellStart"/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Sigecu</w:t>
            </w:r>
            <w:proofErr w:type="spellEnd"/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dužine 450 m radi poboljšanja uvjeta i potencijala korištenja groblja.</w:t>
            </w:r>
          </w:p>
        </w:tc>
      </w:tr>
      <w:tr w:rsidR="00D44343" w:rsidRPr="004C10D1" w:rsidTr="00D45B3D">
        <w:tc>
          <w:tcPr>
            <w:tcW w:w="8959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Građevina se gradi u uređenom dijelu građevinskog područja.</w:t>
            </w:r>
          </w:p>
        </w:tc>
      </w:tr>
      <w:tr w:rsidR="00D44343" w:rsidRPr="004C10D1" w:rsidTr="00D45B3D">
        <w:tc>
          <w:tcPr>
            <w:tcW w:w="6096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Izgradnja: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315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.000,00 kn</w:t>
            </w:r>
          </w:p>
        </w:tc>
      </w:tr>
      <w:tr w:rsidR="00D44343" w:rsidRPr="004C10D1" w:rsidTr="00D45B3D">
        <w:tc>
          <w:tcPr>
            <w:tcW w:w="6096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Nadzor nad radovima: 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 10.000,00 kn</w:t>
            </w:r>
          </w:p>
        </w:tc>
      </w:tr>
      <w:tr w:rsidR="00D44343" w:rsidRPr="004C10D1" w:rsidTr="00D45B3D">
        <w:tc>
          <w:tcPr>
            <w:tcW w:w="6096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Izvori financiranja:</w:t>
            </w:r>
          </w:p>
        </w:tc>
        <w:tc>
          <w:tcPr>
            <w:tcW w:w="2863" w:type="dxa"/>
            <w:shd w:val="clear" w:color="auto" w:fill="auto"/>
          </w:tcPr>
          <w:p w:rsidR="00D44343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325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.000,00kn Opći prihodi i primici</w:t>
            </w:r>
          </w:p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0,00 Koprivničko-Križevačka županija</w:t>
            </w:r>
          </w:p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  <w:tr w:rsidR="00D44343" w:rsidRPr="004C10D1" w:rsidTr="00D45B3D">
        <w:tc>
          <w:tcPr>
            <w:tcW w:w="1276" w:type="dxa"/>
            <w:shd w:val="clear" w:color="auto" w:fill="D0CECE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2.</w:t>
            </w:r>
          </w:p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D0CECE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Uređenje parkirališta na mjesnom groblju u </w:t>
            </w:r>
            <w:proofErr w:type="spellStart"/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Peterancu</w:t>
            </w:r>
            <w:proofErr w:type="spellEnd"/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  <w:shd w:val="clear" w:color="auto" w:fill="D0CECE"/>
          </w:tcPr>
          <w:p w:rsidR="008D3E82" w:rsidRDefault="008D3E82" w:rsidP="008D3E82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Planirano:</w:t>
            </w:r>
          </w:p>
          <w:p w:rsidR="00D44343" w:rsidRPr="006D7491" w:rsidRDefault="00D44343" w:rsidP="008D3E82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0,00 kn</w:t>
            </w:r>
          </w:p>
        </w:tc>
      </w:tr>
      <w:tr w:rsidR="00D44343" w:rsidRPr="004C10D1" w:rsidTr="00D45B3D">
        <w:tc>
          <w:tcPr>
            <w:tcW w:w="8959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Namjena i cilj: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 Urediti parkiralište na mjesnom groblju u </w:t>
            </w:r>
            <w:proofErr w:type="spellStart"/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Peterancu</w:t>
            </w:r>
            <w:proofErr w:type="spellEnd"/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radi poboljšanja uvjeta i potencijala korištenja groblja.</w:t>
            </w:r>
          </w:p>
        </w:tc>
      </w:tr>
      <w:tr w:rsidR="00D44343" w:rsidRPr="004C10D1" w:rsidTr="00D45B3D">
        <w:tc>
          <w:tcPr>
            <w:tcW w:w="8959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Građevina se nalazi u uređenom dijelu građevinskog područja.</w:t>
            </w:r>
          </w:p>
        </w:tc>
      </w:tr>
      <w:tr w:rsidR="00D44343" w:rsidRPr="004C10D1" w:rsidTr="00D45B3D">
        <w:tc>
          <w:tcPr>
            <w:tcW w:w="6096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Izgradnja: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 xml:space="preserve">         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0,00 kn</w:t>
            </w:r>
          </w:p>
        </w:tc>
      </w:tr>
      <w:tr w:rsidR="00D44343" w:rsidRPr="004C10D1" w:rsidTr="00D45B3D">
        <w:tc>
          <w:tcPr>
            <w:tcW w:w="6096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Nadzor nad radovima: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0,00 kn</w:t>
            </w:r>
          </w:p>
        </w:tc>
      </w:tr>
      <w:tr w:rsidR="00D44343" w:rsidRPr="004C10D1" w:rsidTr="00D45B3D">
        <w:tc>
          <w:tcPr>
            <w:tcW w:w="6096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Izvori financiranja: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0,00 kn Opći prihodi i primici</w:t>
            </w:r>
          </w:p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0,00 kn Prihodi od prodaje ili zamjene nefinancijske imovine</w:t>
            </w:r>
          </w:p>
        </w:tc>
      </w:tr>
    </w:tbl>
    <w:p w:rsidR="00D44343" w:rsidRPr="00C7042A" w:rsidRDefault="00D44343" w:rsidP="00D44343">
      <w:pPr>
        <w:jc w:val="both"/>
        <w:rPr>
          <w:rFonts w:ascii="Bookman Old Style" w:hAnsi="Bookman Old Style" w:cs="Calibri"/>
          <w:noProof/>
          <w:color w:val="FF0000"/>
          <w:sz w:val="22"/>
          <w:szCs w:val="22"/>
        </w:rPr>
      </w:pPr>
    </w:p>
    <w:p w:rsidR="00D44343" w:rsidRDefault="00D44343" w:rsidP="00D44343">
      <w:pPr>
        <w:jc w:val="both"/>
        <w:rPr>
          <w:rFonts w:ascii="Bookman Old Style" w:hAnsi="Bookman Old Style" w:cs="Calibri"/>
          <w:noProof/>
          <w:color w:val="FF000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2863"/>
      </w:tblGrid>
      <w:tr w:rsidR="00D44343" w:rsidRPr="004C10D1" w:rsidTr="00D45B3D">
        <w:tc>
          <w:tcPr>
            <w:tcW w:w="8959" w:type="dxa"/>
            <w:gridSpan w:val="3"/>
            <w:shd w:val="clear" w:color="auto" w:fill="D0CECE"/>
          </w:tcPr>
          <w:p w:rsidR="00D44343" w:rsidRPr="006D7491" w:rsidRDefault="00D44343" w:rsidP="00D45B3D">
            <w:pPr>
              <w:pStyle w:val="Paragraf11"/>
              <w:ind w:left="34"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JAVNA RASVJETA - 340</w:t>
            </w: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.000,00 kn</w:t>
            </w:r>
          </w:p>
        </w:tc>
      </w:tr>
      <w:tr w:rsidR="00D44343" w:rsidRPr="004C10D1" w:rsidTr="00D45B3D">
        <w:tc>
          <w:tcPr>
            <w:tcW w:w="1276" w:type="dxa"/>
            <w:shd w:val="clear" w:color="auto" w:fill="D0CECE"/>
          </w:tcPr>
          <w:p w:rsidR="00D44343" w:rsidRPr="004C10D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Cs w:val="24"/>
              </w:rPr>
            </w:pPr>
            <w:r w:rsidRPr="004C10D1">
              <w:rPr>
                <w:rFonts w:ascii="Bookman Old Style" w:eastAsia="Calibri" w:hAnsi="Bookman Old Style"/>
                <w:b/>
                <w:szCs w:val="24"/>
              </w:rPr>
              <w:t>1.</w:t>
            </w:r>
          </w:p>
        </w:tc>
        <w:tc>
          <w:tcPr>
            <w:tcW w:w="4820" w:type="dxa"/>
            <w:shd w:val="clear" w:color="auto" w:fill="D0CECE"/>
          </w:tcPr>
          <w:p w:rsidR="00D44343" w:rsidRPr="006D7491" w:rsidRDefault="00D44343" w:rsidP="00D45B3D">
            <w:pPr>
              <w:pStyle w:val="Paragraf11"/>
              <w:spacing w:after="0"/>
              <w:ind w:left="-108" w:right="-108"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Izgradnja javne rasvjete – biciklističko pješačka  staza Peteranec – Koprivnica</w:t>
            </w:r>
          </w:p>
        </w:tc>
        <w:tc>
          <w:tcPr>
            <w:tcW w:w="2863" w:type="dxa"/>
            <w:shd w:val="clear" w:color="auto" w:fill="D0CECE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Planirano:</w:t>
            </w:r>
          </w:p>
          <w:p w:rsidR="00D44343" w:rsidRPr="006D7491" w:rsidRDefault="00D44343" w:rsidP="00D45B3D">
            <w:pPr>
              <w:pStyle w:val="Paragraf11"/>
              <w:spacing w:after="0"/>
              <w:ind w:firstLine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340</w:t>
            </w: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>.000,00 kn</w:t>
            </w:r>
          </w:p>
        </w:tc>
      </w:tr>
      <w:tr w:rsidR="00D44343" w:rsidRPr="004C10D1" w:rsidTr="00D45B3D">
        <w:tc>
          <w:tcPr>
            <w:tcW w:w="8959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Namjena i cilj: 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Izgraditi javnu rasvjetu na biciklističko-pješačkoj stazi od </w:t>
            </w:r>
            <w:proofErr w:type="spellStart"/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Peteranca</w:t>
            </w:r>
            <w:proofErr w:type="spellEnd"/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do Koprivnice radi osiguravanja prometne i opće sigurnosti te optimalne osvijetljenosti postavljanjem energetski učinkovite javne rasvjete.</w:t>
            </w:r>
          </w:p>
        </w:tc>
      </w:tr>
      <w:tr w:rsidR="00D44343" w:rsidRPr="004C10D1" w:rsidTr="00D45B3D">
        <w:tc>
          <w:tcPr>
            <w:tcW w:w="8959" w:type="dxa"/>
            <w:gridSpan w:val="3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Građevina se gradi u uređenom dijelu izvan građevinskog područja. </w:t>
            </w:r>
          </w:p>
        </w:tc>
      </w:tr>
      <w:tr w:rsidR="00D44343" w:rsidRPr="004C10D1" w:rsidTr="00D45B3D">
        <w:tc>
          <w:tcPr>
            <w:tcW w:w="6096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Izgradnja: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330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.000,00 kn</w:t>
            </w:r>
          </w:p>
        </w:tc>
      </w:tr>
      <w:tr w:rsidR="00D44343" w:rsidRPr="004C10D1" w:rsidTr="00D45B3D">
        <w:tc>
          <w:tcPr>
            <w:tcW w:w="6096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Nadzor nad radovima: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 10.000,00 kn</w:t>
            </w:r>
          </w:p>
        </w:tc>
      </w:tr>
      <w:tr w:rsidR="00D44343" w:rsidRPr="004C10D1" w:rsidTr="00D45B3D">
        <w:tc>
          <w:tcPr>
            <w:tcW w:w="6096" w:type="dxa"/>
            <w:gridSpan w:val="2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Izvori financiranja:</w:t>
            </w:r>
          </w:p>
        </w:tc>
        <w:tc>
          <w:tcPr>
            <w:tcW w:w="2863" w:type="dxa"/>
            <w:shd w:val="clear" w:color="auto" w:fill="auto"/>
          </w:tcPr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340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.000,00kn Opći prihodi i primici</w:t>
            </w:r>
          </w:p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0,00 kn Koprivničko-križevačka županija (za izgradnju)</w:t>
            </w:r>
          </w:p>
          <w:p w:rsidR="00D44343" w:rsidRPr="006D7491" w:rsidRDefault="00D44343" w:rsidP="00D45B3D">
            <w:pPr>
              <w:pStyle w:val="Paragraf11"/>
              <w:spacing w:before="0" w:after="0"/>
              <w:ind w:firstLine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0</w:t>
            </w:r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,00 kn donacija </w:t>
            </w:r>
            <w:proofErr w:type="spellStart"/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>Cengiz</w:t>
            </w:r>
            <w:proofErr w:type="spellEnd"/>
            <w:r w:rsidRPr="006D7491">
              <w:rPr>
                <w:rFonts w:ascii="Bookman Old Style" w:eastAsia="Calibri" w:hAnsi="Bookman Old Style"/>
                <w:sz w:val="22"/>
                <w:szCs w:val="22"/>
              </w:rPr>
              <w:t xml:space="preserve"> grupa (za izgradnju)</w:t>
            </w:r>
          </w:p>
        </w:tc>
      </w:tr>
    </w:tbl>
    <w:p w:rsidR="00D44343" w:rsidRPr="00C7042A" w:rsidRDefault="00D44343" w:rsidP="00D44343">
      <w:pPr>
        <w:jc w:val="both"/>
        <w:rPr>
          <w:rFonts w:ascii="Bookman Old Style" w:hAnsi="Bookman Old Style" w:cs="Calibri"/>
          <w:noProof/>
          <w:color w:val="FF0000"/>
          <w:sz w:val="22"/>
          <w:szCs w:val="22"/>
        </w:rPr>
      </w:pPr>
    </w:p>
    <w:p w:rsidR="00D44343" w:rsidRPr="00A915FB" w:rsidRDefault="00D44343" w:rsidP="00D44343">
      <w:pPr>
        <w:jc w:val="center"/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</w:pPr>
      <w:r w:rsidRPr="00A915FB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>II.</w:t>
      </w:r>
    </w:p>
    <w:p w:rsidR="00D44343" w:rsidRPr="00A915FB" w:rsidRDefault="00D44343" w:rsidP="00D44343">
      <w:pPr>
        <w:jc w:val="center"/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</w:pPr>
    </w:p>
    <w:p w:rsidR="00D44343" w:rsidRPr="00A915FB" w:rsidRDefault="00D44343" w:rsidP="00D44343">
      <w:pPr>
        <w:jc w:val="both"/>
        <w:rPr>
          <w:rFonts w:ascii="Bookman Old Style" w:hAnsi="Bookman Old Style" w:cs="Calibri"/>
          <w:noProof/>
          <w:color w:val="000000" w:themeColor="text1"/>
          <w:sz w:val="22"/>
          <w:szCs w:val="22"/>
        </w:rPr>
      </w:pPr>
      <w:r w:rsidRPr="00A915FB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ab/>
        <w:t xml:space="preserve">U točki IV. brojka „3.485.000,00“ zamjenjuje se brojkom „2.775.000,00“,  pod „opći prihodi i primici“ brojka „2.180.500,00“ zamjenjuje se brojkom </w:t>
      </w:r>
      <w:r w:rsidRPr="00A915FB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lastRenderedPageBreak/>
        <w:t>„2.</w:t>
      </w:r>
      <w:r w:rsidR="00053A10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012</w:t>
      </w:r>
      <w:r w:rsidRPr="00A915FB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.000,00“,</w:t>
      </w:r>
      <w:r w:rsidR="00053A10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 xml:space="preserve"> pod „Prihod od prodaje ili zamjene nefinancijske imovine“ brojka „150.000,00“ zamjenjuje se brojkom“ „0,00“, pod</w:t>
      </w:r>
      <w:r w:rsidRPr="00A915FB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 xml:space="preserve"> „Županijska uprava za ceste“ brojka „400.000,00“ zamjenjuje se brojkom „0,00“, pod „Ministarstvo regionalnog razvoja i fondova EU“ brojka „630.000,00“ zamjenjuje se brojkom „480.000,00“, a pod „Ministarstvo unutarnjih poslova“ brojka „74.500,00“ zamjenjuje se brojkom „83.000,00“.</w:t>
      </w:r>
    </w:p>
    <w:p w:rsidR="00D44343" w:rsidRPr="00A915FB" w:rsidRDefault="00D44343" w:rsidP="00D44343">
      <w:pPr>
        <w:jc w:val="both"/>
        <w:rPr>
          <w:rFonts w:ascii="Bookman Old Style" w:hAnsi="Bookman Old Style" w:cs="Calibri"/>
          <w:noProof/>
          <w:color w:val="000000" w:themeColor="text1"/>
          <w:sz w:val="22"/>
          <w:szCs w:val="22"/>
        </w:rPr>
      </w:pPr>
    </w:p>
    <w:p w:rsidR="00D44343" w:rsidRPr="00A915FB" w:rsidRDefault="00D44343" w:rsidP="00D44343">
      <w:pPr>
        <w:jc w:val="center"/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</w:pPr>
      <w:r w:rsidRPr="00A915FB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>III.</w:t>
      </w:r>
    </w:p>
    <w:p w:rsidR="00D44343" w:rsidRPr="00A915FB" w:rsidRDefault="00D44343" w:rsidP="00D44343">
      <w:pPr>
        <w:jc w:val="center"/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</w:pPr>
    </w:p>
    <w:p w:rsidR="00D44343" w:rsidRPr="00A915FB" w:rsidRDefault="00D44343" w:rsidP="00D44343">
      <w:pPr>
        <w:jc w:val="both"/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</w:pPr>
      <w:r w:rsidRPr="00A915FB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ab/>
        <w:t>Ovaj Program stupa na snagu prvog dana od dana objave u „Službenom glasniku Koprivničko-križevačke županije“.</w:t>
      </w:r>
    </w:p>
    <w:p w:rsidR="00D44343" w:rsidRPr="00A915FB" w:rsidRDefault="00D44343" w:rsidP="00D44343">
      <w:pPr>
        <w:jc w:val="center"/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</w:pPr>
    </w:p>
    <w:p w:rsidR="00D44343" w:rsidRPr="00A915FB" w:rsidRDefault="00D44343" w:rsidP="00D44343">
      <w:pPr>
        <w:jc w:val="center"/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</w:pPr>
      <w:r w:rsidRPr="00A915FB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>OPĆINSKO VIJEĆE OPĆINE PETERANEC</w:t>
      </w:r>
    </w:p>
    <w:p w:rsidR="00D44343" w:rsidRPr="00C7042A" w:rsidRDefault="00D44343" w:rsidP="00D44343">
      <w:pPr>
        <w:jc w:val="both"/>
        <w:rPr>
          <w:rFonts w:ascii="Bookman Old Style" w:hAnsi="Bookman Old Style" w:cs="Calibri"/>
          <w:b/>
          <w:noProof/>
          <w:color w:val="FF0000"/>
          <w:sz w:val="22"/>
          <w:szCs w:val="22"/>
        </w:rPr>
      </w:pPr>
    </w:p>
    <w:p w:rsidR="00D44343" w:rsidRPr="005E2D82" w:rsidRDefault="00D44343" w:rsidP="00D44343">
      <w:pPr>
        <w:jc w:val="both"/>
        <w:rPr>
          <w:rFonts w:ascii="Bookman Old Style" w:hAnsi="Bookman Old Style" w:cs="Calibri"/>
          <w:noProof/>
          <w:color w:val="000000" w:themeColor="text1"/>
          <w:sz w:val="22"/>
          <w:szCs w:val="22"/>
        </w:rPr>
      </w:pPr>
      <w:r w:rsidRPr="005E2D82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KLASA: 363-01/21-01/05</w:t>
      </w:r>
    </w:p>
    <w:p w:rsidR="00D44343" w:rsidRPr="005E2D82" w:rsidRDefault="00282FDA" w:rsidP="00D44343">
      <w:pPr>
        <w:jc w:val="both"/>
        <w:rPr>
          <w:rFonts w:ascii="Bookman Old Style" w:hAnsi="Bookman Old Style" w:cs="Calibri"/>
          <w:noProof/>
          <w:color w:val="000000" w:themeColor="text1"/>
          <w:sz w:val="22"/>
          <w:szCs w:val="22"/>
        </w:rPr>
      </w:pPr>
      <w:r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URBROJ: 2137-12-02-22</w:t>
      </w:r>
      <w:r w:rsidRPr="00083507">
        <w:rPr>
          <w:rFonts w:ascii="Bookman Old Style" w:hAnsi="Bookman Old Style" w:cs="Calibri"/>
          <w:noProof/>
          <w:sz w:val="22"/>
          <w:szCs w:val="22"/>
        </w:rPr>
        <w:t>-4</w:t>
      </w:r>
    </w:p>
    <w:p w:rsidR="00D44343" w:rsidRPr="005E2D82" w:rsidRDefault="00D44343" w:rsidP="00D44343">
      <w:pPr>
        <w:jc w:val="both"/>
        <w:rPr>
          <w:rFonts w:ascii="Bookman Old Style" w:hAnsi="Bookman Old Style" w:cs="Calibri"/>
          <w:noProof/>
          <w:color w:val="000000" w:themeColor="text1"/>
          <w:sz w:val="22"/>
          <w:szCs w:val="22"/>
        </w:rPr>
      </w:pPr>
      <w:r w:rsidRPr="005E2D82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 xml:space="preserve">Peteranec, </w:t>
      </w:r>
      <w:r w:rsidR="005E4F4D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30. prosin</w:t>
      </w:r>
      <w:r w:rsidRPr="005E2D82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c</w:t>
      </w:r>
      <w:r w:rsidR="005E4F4D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>a</w:t>
      </w:r>
      <w:r w:rsidRPr="005E2D82">
        <w:rPr>
          <w:rFonts w:ascii="Bookman Old Style" w:hAnsi="Bookman Old Style" w:cs="Calibri"/>
          <w:noProof/>
          <w:color w:val="000000" w:themeColor="text1"/>
          <w:sz w:val="22"/>
          <w:szCs w:val="22"/>
        </w:rPr>
        <w:t xml:space="preserve"> 2022.</w:t>
      </w:r>
    </w:p>
    <w:p w:rsidR="00D44343" w:rsidRPr="005E2D82" w:rsidRDefault="00D44343" w:rsidP="00D44343">
      <w:pPr>
        <w:jc w:val="both"/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</w:pPr>
    </w:p>
    <w:p w:rsidR="00D44343" w:rsidRPr="005E2D82" w:rsidRDefault="00D44343" w:rsidP="00D44343">
      <w:pPr>
        <w:jc w:val="both"/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</w:pP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ab/>
      </w: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ab/>
      </w: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ab/>
      </w: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ab/>
      </w: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ab/>
      </w: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ab/>
      </w: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ab/>
      </w: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ab/>
        <w:t xml:space="preserve">          PREDSJEDNCA:                                                                                                                    </w:t>
      </w:r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ab/>
        <w:t xml:space="preserve">                                                                   </w:t>
      </w:r>
      <w:r w:rsidR="004156CB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 xml:space="preserve"> </w:t>
      </w:r>
      <w:bookmarkStart w:id="3" w:name="_GoBack"/>
      <w:bookmarkEnd w:id="3"/>
      <w:r w:rsidRPr="005E2D82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 xml:space="preserve"> Ivana Dombaj Čižmak</w:t>
      </w:r>
      <w:r w:rsidR="004156CB">
        <w:rPr>
          <w:rFonts w:ascii="Bookman Old Style" w:hAnsi="Bookman Old Style" w:cs="Calibri"/>
          <w:b/>
          <w:noProof/>
          <w:color w:val="000000" w:themeColor="text1"/>
          <w:sz w:val="22"/>
          <w:szCs w:val="22"/>
        </w:rPr>
        <w:t>, v.r.</w:t>
      </w:r>
    </w:p>
    <w:p w:rsidR="00985904" w:rsidRDefault="005E4F4D">
      <w:r>
        <w:t xml:space="preserve"> </w:t>
      </w:r>
    </w:p>
    <w:sectPr w:rsidR="00985904" w:rsidSect="00EB2B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43"/>
    <w:rsid w:val="00002BF8"/>
    <w:rsid w:val="00053A10"/>
    <w:rsid w:val="00083507"/>
    <w:rsid w:val="00282FDA"/>
    <w:rsid w:val="004156CB"/>
    <w:rsid w:val="005E4F4D"/>
    <w:rsid w:val="00822297"/>
    <w:rsid w:val="008D3E82"/>
    <w:rsid w:val="00985904"/>
    <w:rsid w:val="00B035A7"/>
    <w:rsid w:val="00B56F23"/>
    <w:rsid w:val="00D44343"/>
    <w:rsid w:val="00E7426F"/>
    <w:rsid w:val="00E86847"/>
    <w:rsid w:val="00E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4FAB"/>
  <w15:docId w15:val="{C08F8FE6-F9EA-4283-B725-7C8772F5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44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4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11">
    <w:name w:val="Paragraf 1.1"/>
    <w:basedOn w:val="Normal"/>
    <w:rsid w:val="00D44343"/>
    <w:pPr>
      <w:spacing w:before="120" w:after="120"/>
      <w:ind w:firstLine="567"/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B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BD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15</cp:revision>
  <cp:lastPrinted>2023-01-02T08:03:00Z</cp:lastPrinted>
  <dcterms:created xsi:type="dcterms:W3CDTF">2022-12-16T23:49:00Z</dcterms:created>
  <dcterms:modified xsi:type="dcterms:W3CDTF">2023-01-02T08:04:00Z</dcterms:modified>
</cp:coreProperties>
</file>