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565EAC">
        <w:tblPrEx>
          <w:tblCellMar>
            <w:top w:w="0" w:type="dxa"/>
            <w:bottom w:w="0" w:type="dxa"/>
          </w:tblCellMar>
        </w:tblPrEx>
        <w:trPr>
          <w:tblCellSpacing w:w="60" w:type="dxa"/>
        </w:trPr>
        <w:tc>
          <w:tcPr>
            <w:tcW w:w="1200" w:type="pct"/>
            <w:shd w:val="clear" w:color="auto" w:fill="E7F0F9"/>
          </w:tcPr>
          <w:p w:rsidR="00565EAC" w:rsidRDefault="001F4708">
            <w:pPr>
              <w:spacing w:after="0" w:line="240" w:lineRule="auto"/>
            </w:pPr>
            <w:bookmarkStart w:id="0" w:name="_GoBack"/>
            <w:bookmarkEnd w:id="0"/>
            <w:r>
              <w:rPr>
                <w:b/>
              </w:rPr>
              <w:t>RKP broj</w:t>
            </w:r>
          </w:p>
        </w:tc>
        <w:tc>
          <w:tcPr>
            <w:tcW w:w="0" w:type="auto"/>
            <w:shd w:val="clear" w:color="auto" w:fill="E7F0F9"/>
          </w:tcPr>
          <w:p w:rsidR="00565EAC" w:rsidRDefault="001F4708">
            <w:pPr>
              <w:spacing w:after="0" w:line="240" w:lineRule="auto"/>
            </w:pPr>
            <w:r>
              <w:t>28151</w:t>
            </w:r>
          </w:p>
        </w:tc>
      </w:tr>
      <w:tr w:rsidR="00565EAC">
        <w:tblPrEx>
          <w:tblCellMar>
            <w:top w:w="0" w:type="dxa"/>
            <w:bottom w:w="0" w:type="dxa"/>
          </w:tblCellMar>
        </w:tblPrEx>
        <w:trPr>
          <w:tblCellSpacing w:w="60" w:type="dxa"/>
        </w:trPr>
        <w:tc>
          <w:tcPr>
            <w:tcW w:w="1200" w:type="pct"/>
            <w:shd w:val="clear" w:color="auto" w:fill="E7F0F9"/>
          </w:tcPr>
          <w:p w:rsidR="00565EAC" w:rsidRDefault="001F4708">
            <w:pPr>
              <w:spacing w:after="0" w:line="240" w:lineRule="auto"/>
            </w:pPr>
            <w:r>
              <w:rPr>
                <w:b/>
              </w:rPr>
              <w:t>Naziv obveznika</w:t>
            </w:r>
          </w:p>
        </w:tc>
        <w:tc>
          <w:tcPr>
            <w:tcW w:w="0" w:type="auto"/>
            <w:shd w:val="clear" w:color="auto" w:fill="E7F0F9"/>
          </w:tcPr>
          <w:p w:rsidR="00565EAC" w:rsidRDefault="001F4708">
            <w:pPr>
              <w:spacing w:after="0" w:line="240" w:lineRule="auto"/>
            </w:pPr>
            <w:r>
              <w:t>OPĆINA PETERANEC</w:t>
            </w:r>
          </w:p>
        </w:tc>
      </w:tr>
      <w:tr w:rsidR="00565EAC">
        <w:tblPrEx>
          <w:tblCellMar>
            <w:top w:w="0" w:type="dxa"/>
            <w:bottom w:w="0" w:type="dxa"/>
          </w:tblCellMar>
        </w:tblPrEx>
        <w:trPr>
          <w:tblCellSpacing w:w="60" w:type="dxa"/>
        </w:trPr>
        <w:tc>
          <w:tcPr>
            <w:tcW w:w="1200" w:type="pct"/>
            <w:shd w:val="clear" w:color="auto" w:fill="E7F0F9"/>
          </w:tcPr>
          <w:p w:rsidR="00565EAC" w:rsidRDefault="001F4708">
            <w:pPr>
              <w:spacing w:after="0" w:line="240" w:lineRule="auto"/>
            </w:pPr>
            <w:r>
              <w:rPr>
                <w:b/>
              </w:rPr>
              <w:t>Razina</w:t>
            </w:r>
          </w:p>
        </w:tc>
        <w:tc>
          <w:tcPr>
            <w:tcW w:w="0" w:type="auto"/>
            <w:shd w:val="clear" w:color="auto" w:fill="E7F0F9"/>
          </w:tcPr>
          <w:p w:rsidR="00565EAC" w:rsidRDefault="001F4708">
            <w:pPr>
              <w:spacing w:after="0" w:line="240" w:lineRule="auto"/>
            </w:pPr>
            <w:r>
              <w:t>22</w:t>
            </w:r>
          </w:p>
        </w:tc>
      </w:tr>
    </w:tbl>
    <w:p w:rsidR="00565EAC" w:rsidRDefault="001F4708">
      <w:r>
        <w:br/>
      </w:r>
    </w:p>
    <w:p w:rsidR="00565EAC" w:rsidRDefault="001F4708">
      <w:pPr>
        <w:spacing w:line="240" w:lineRule="auto"/>
        <w:jc w:val="center"/>
      </w:pPr>
      <w:r>
        <w:rPr>
          <w:b/>
          <w:sz w:val="28"/>
        </w:rPr>
        <w:t>BILJEŠKE UZ FINANCIJSKE IZVJEŠTAJE</w:t>
      </w:r>
    </w:p>
    <w:p w:rsidR="00565EAC" w:rsidRDefault="001F4708">
      <w:pPr>
        <w:spacing w:line="240" w:lineRule="auto"/>
        <w:jc w:val="center"/>
      </w:pPr>
      <w:r>
        <w:rPr>
          <w:b/>
          <w:sz w:val="28"/>
        </w:rPr>
        <w:t>ZA RAZDOBLJE</w:t>
      </w:r>
    </w:p>
    <w:p w:rsidR="00565EAC" w:rsidRDefault="001F4708">
      <w:pPr>
        <w:spacing w:line="240" w:lineRule="auto"/>
        <w:jc w:val="center"/>
      </w:pPr>
      <w:r>
        <w:rPr>
          <w:b/>
          <w:sz w:val="28"/>
        </w:rPr>
        <w:t>I - III 2026.</w:t>
      </w:r>
    </w:p>
    <w:p w:rsidR="00565EAC" w:rsidRDefault="00565EAC"/>
    <w:p w:rsidR="00565EAC" w:rsidRDefault="001F4708">
      <w:pPr>
        <w:keepNext/>
        <w:spacing w:line="240" w:lineRule="auto"/>
        <w:jc w:val="center"/>
      </w:pPr>
      <w:r>
        <w:rPr>
          <w:b/>
          <w:sz w:val="28"/>
        </w:rPr>
        <w:t>Izvještaj o prihodima i rashodima, primicima i izdacima</w:t>
      </w:r>
    </w:p>
    <w:p w:rsidR="00565EAC" w:rsidRDefault="001F4708">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65EAC">
        <w:tblPrEx>
          <w:tblCellMar>
            <w:top w:w="0" w:type="dxa"/>
            <w:bottom w:w="0" w:type="dxa"/>
          </w:tblCellMar>
        </w:tblPrEx>
        <w:trPr>
          <w:cantSplit/>
        </w:trPr>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Indeks (%)</w:t>
            </w:r>
          </w:p>
        </w:tc>
      </w:tr>
      <w:tr w:rsidR="00565EAC">
        <w:tblPrEx>
          <w:tblCellMar>
            <w:top w:w="0" w:type="dxa"/>
            <w:bottom w:w="0" w:type="dxa"/>
          </w:tblCellMar>
        </w:tblPrEx>
        <w:trPr>
          <w:cantSplit/>
          <w:trHeight w:val="560"/>
        </w:trPr>
        <w:tc>
          <w:tcPr>
            <w:tcW w:w="700" w:type="dxa"/>
            <w:tcMar>
              <w:top w:w="0" w:type="dxa"/>
              <w:bottom w:w="0" w:type="dxa"/>
            </w:tcMar>
            <w:vAlign w:val="center"/>
          </w:tcPr>
          <w:p w:rsidR="00565EAC" w:rsidRDefault="001F4708">
            <w:pPr>
              <w:keepNext/>
              <w:keepLines/>
              <w:spacing w:after="0" w:line="240" w:lineRule="auto"/>
            </w:pPr>
            <w:r>
              <w:rPr>
                <w:sz w:val="18"/>
              </w:rPr>
              <w:t>6</w:t>
            </w:r>
          </w:p>
        </w:tc>
        <w:tc>
          <w:tcPr>
            <w:tcW w:w="3180" w:type="dxa"/>
            <w:tcMar>
              <w:top w:w="0" w:type="dxa"/>
              <w:bottom w:w="0" w:type="dxa"/>
            </w:tcMar>
            <w:vAlign w:val="center"/>
          </w:tcPr>
          <w:p w:rsidR="00565EAC" w:rsidRDefault="001F4708">
            <w:pPr>
              <w:keepNext/>
              <w:keepLines/>
              <w:spacing w:after="0" w:line="240" w:lineRule="auto"/>
            </w:pPr>
            <w:r>
              <w:rPr>
                <w:sz w:val="18"/>
              </w:rPr>
              <w:t>PRIHODI POSLOVANJA (šifre 61+62+63+64+65+66+67+68)</w:t>
            </w:r>
          </w:p>
        </w:tc>
        <w:tc>
          <w:tcPr>
            <w:tcW w:w="700" w:type="dxa"/>
            <w:tcMar>
              <w:top w:w="0" w:type="dxa"/>
              <w:bottom w:w="0" w:type="dxa"/>
            </w:tcMar>
            <w:vAlign w:val="center"/>
          </w:tcPr>
          <w:p w:rsidR="00565EAC" w:rsidRDefault="001F4708">
            <w:pPr>
              <w:keepNext/>
              <w:keepLines/>
              <w:spacing w:after="0" w:line="240" w:lineRule="auto"/>
            </w:pPr>
            <w:r>
              <w:rPr>
                <w:sz w:val="18"/>
              </w:rPr>
              <w:t>6</w:t>
            </w:r>
          </w:p>
        </w:tc>
        <w:tc>
          <w:tcPr>
            <w:tcW w:w="1860" w:type="dxa"/>
            <w:tcMar>
              <w:top w:w="0" w:type="dxa"/>
              <w:bottom w:w="0" w:type="dxa"/>
            </w:tcMar>
            <w:vAlign w:val="center"/>
          </w:tcPr>
          <w:p w:rsidR="00565EAC" w:rsidRDefault="001F4708">
            <w:pPr>
              <w:keepNext/>
              <w:keepLines/>
              <w:spacing w:after="0" w:line="240" w:lineRule="auto"/>
              <w:jc w:val="right"/>
            </w:pPr>
            <w:r>
              <w:rPr>
                <w:sz w:val="18"/>
              </w:rPr>
              <w:t>740.446,97</w:t>
            </w:r>
          </w:p>
        </w:tc>
        <w:tc>
          <w:tcPr>
            <w:tcW w:w="1860" w:type="dxa"/>
            <w:tcMar>
              <w:top w:w="0" w:type="dxa"/>
              <w:bottom w:w="0" w:type="dxa"/>
            </w:tcMar>
            <w:vAlign w:val="center"/>
          </w:tcPr>
          <w:p w:rsidR="00565EAC" w:rsidRDefault="001F4708">
            <w:pPr>
              <w:keepNext/>
              <w:keepLines/>
              <w:spacing w:after="0" w:line="240" w:lineRule="auto"/>
              <w:jc w:val="right"/>
            </w:pPr>
            <w:r>
              <w:rPr>
                <w:sz w:val="18"/>
              </w:rPr>
              <w:t>557.886,30</w:t>
            </w:r>
          </w:p>
        </w:tc>
        <w:tc>
          <w:tcPr>
            <w:tcW w:w="700" w:type="dxa"/>
            <w:tcMar>
              <w:top w:w="0" w:type="dxa"/>
              <w:bottom w:w="0" w:type="dxa"/>
            </w:tcMar>
            <w:vAlign w:val="center"/>
          </w:tcPr>
          <w:p w:rsidR="00565EAC" w:rsidRDefault="001F4708">
            <w:pPr>
              <w:keepNext/>
              <w:keepLines/>
              <w:spacing w:after="0" w:line="240" w:lineRule="auto"/>
              <w:jc w:val="right"/>
            </w:pPr>
            <w:r>
              <w:rPr>
                <w:sz w:val="18"/>
              </w:rPr>
              <w:t>75,3</w:t>
            </w:r>
          </w:p>
        </w:tc>
      </w:tr>
      <w:tr w:rsidR="00565EAC">
        <w:tblPrEx>
          <w:tblCellMar>
            <w:top w:w="0" w:type="dxa"/>
            <w:bottom w:w="0" w:type="dxa"/>
          </w:tblCellMar>
        </w:tblPrEx>
        <w:trPr>
          <w:cantSplit/>
          <w:trHeight w:val="560"/>
        </w:trPr>
        <w:tc>
          <w:tcPr>
            <w:tcW w:w="700" w:type="dxa"/>
            <w:tcMar>
              <w:top w:w="0" w:type="dxa"/>
              <w:bottom w:w="0" w:type="dxa"/>
            </w:tcMar>
            <w:vAlign w:val="center"/>
          </w:tcPr>
          <w:p w:rsidR="00565EAC" w:rsidRDefault="001F4708">
            <w:pPr>
              <w:keepNext/>
              <w:keepLines/>
              <w:spacing w:after="0" w:line="240" w:lineRule="auto"/>
            </w:pPr>
            <w:r>
              <w:rPr>
                <w:sz w:val="18"/>
              </w:rPr>
              <w:t>3</w:t>
            </w:r>
          </w:p>
        </w:tc>
        <w:tc>
          <w:tcPr>
            <w:tcW w:w="3180" w:type="dxa"/>
            <w:tcMar>
              <w:top w:w="0" w:type="dxa"/>
              <w:bottom w:w="0" w:type="dxa"/>
            </w:tcMar>
            <w:vAlign w:val="center"/>
          </w:tcPr>
          <w:p w:rsidR="00565EAC" w:rsidRDefault="001F4708">
            <w:pPr>
              <w:keepNext/>
              <w:keepLines/>
              <w:spacing w:after="0" w:line="240" w:lineRule="auto"/>
            </w:pPr>
            <w:r>
              <w:rPr>
                <w:sz w:val="18"/>
              </w:rPr>
              <w:t>RASHODI POSLOVANJA (šifre 31+32+34+35+36+37+38)</w:t>
            </w:r>
          </w:p>
        </w:tc>
        <w:tc>
          <w:tcPr>
            <w:tcW w:w="700" w:type="dxa"/>
            <w:tcMar>
              <w:top w:w="0" w:type="dxa"/>
              <w:bottom w:w="0" w:type="dxa"/>
            </w:tcMar>
            <w:vAlign w:val="center"/>
          </w:tcPr>
          <w:p w:rsidR="00565EAC" w:rsidRDefault="001F4708">
            <w:pPr>
              <w:keepNext/>
              <w:keepLines/>
              <w:spacing w:after="0" w:line="240" w:lineRule="auto"/>
            </w:pPr>
            <w:r>
              <w:rPr>
                <w:sz w:val="18"/>
              </w:rPr>
              <w:t>3</w:t>
            </w:r>
          </w:p>
        </w:tc>
        <w:tc>
          <w:tcPr>
            <w:tcW w:w="1860" w:type="dxa"/>
            <w:tcMar>
              <w:top w:w="0" w:type="dxa"/>
              <w:bottom w:w="0" w:type="dxa"/>
            </w:tcMar>
            <w:vAlign w:val="center"/>
          </w:tcPr>
          <w:p w:rsidR="00565EAC" w:rsidRDefault="001F4708">
            <w:pPr>
              <w:keepNext/>
              <w:keepLines/>
              <w:spacing w:after="0" w:line="240" w:lineRule="auto"/>
              <w:jc w:val="right"/>
            </w:pPr>
            <w:r>
              <w:rPr>
                <w:sz w:val="18"/>
              </w:rPr>
              <w:t>265.904,86</w:t>
            </w:r>
          </w:p>
        </w:tc>
        <w:tc>
          <w:tcPr>
            <w:tcW w:w="1860" w:type="dxa"/>
            <w:tcMar>
              <w:top w:w="0" w:type="dxa"/>
              <w:bottom w:w="0" w:type="dxa"/>
            </w:tcMar>
            <w:vAlign w:val="center"/>
          </w:tcPr>
          <w:p w:rsidR="00565EAC" w:rsidRDefault="001F4708">
            <w:pPr>
              <w:keepNext/>
              <w:keepLines/>
              <w:spacing w:after="0" w:line="240" w:lineRule="auto"/>
              <w:jc w:val="right"/>
            </w:pPr>
            <w:r>
              <w:rPr>
                <w:sz w:val="18"/>
              </w:rPr>
              <w:t>437.687,10</w:t>
            </w:r>
          </w:p>
        </w:tc>
        <w:tc>
          <w:tcPr>
            <w:tcW w:w="700" w:type="dxa"/>
            <w:tcMar>
              <w:top w:w="0" w:type="dxa"/>
              <w:bottom w:w="0" w:type="dxa"/>
            </w:tcMar>
            <w:vAlign w:val="center"/>
          </w:tcPr>
          <w:p w:rsidR="00565EAC" w:rsidRDefault="001F4708">
            <w:pPr>
              <w:keepNext/>
              <w:keepLines/>
              <w:spacing w:after="0" w:line="240" w:lineRule="auto"/>
              <w:jc w:val="right"/>
            </w:pPr>
            <w:r>
              <w:rPr>
                <w:sz w:val="18"/>
              </w:rPr>
              <w:t>164,6</w:t>
            </w:r>
          </w:p>
        </w:tc>
      </w:tr>
      <w:tr w:rsidR="00565EAC">
        <w:tblPrEx>
          <w:tblCellMar>
            <w:top w:w="0" w:type="dxa"/>
            <w:bottom w:w="0" w:type="dxa"/>
          </w:tblCellMar>
        </w:tblPrEx>
        <w:trPr>
          <w:cantSplit/>
          <w:trHeight w:val="560"/>
        </w:trPr>
        <w:tc>
          <w:tcPr>
            <w:tcW w:w="700" w:type="dxa"/>
            <w:tcMar>
              <w:top w:w="0" w:type="dxa"/>
              <w:bottom w:w="0" w:type="dxa"/>
            </w:tcMar>
            <w:vAlign w:val="center"/>
          </w:tcPr>
          <w:p w:rsidR="00565EAC" w:rsidRDefault="00565EAC">
            <w:pPr>
              <w:keepNext/>
              <w:keepLines/>
              <w:spacing w:after="0" w:line="240" w:lineRule="auto"/>
            </w:pPr>
          </w:p>
        </w:tc>
        <w:tc>
          <w:tcPr>
            <w:tcW w:w="3180" w:type="dxa"/>
            <w:tcMar>
              <w:top w:w="0" w:type="dxa"/>
              <w:bottom w:w="0" w:type="dxa"/>
            </w:tcMar>
            <w:vAlign w:val="center"/>
          </w:tcPr>
          <w:p w:rsidR="00565EAC" w:rsidRDefault="001F4708">
            <w:pPr>
              <w:keepNext/>
              <w:keepLines/>
              <w:spacing w:after="0" w:line="240" w:lineRule="auto"/>
            </w:pPr>
            <w:r>
              <w:rPr>
                <w:b/>
                <w:sz w:val="18"/>
              </w:rPr>
              <w:t>VIŠAK PRIHODA POSLOVANJA (šifre 6-Z005)</w:t>
            </w:r>
          </w:p>
        </w:tc>
        <w:tc>
          <w:tcPr>
            <w:tcW w:w="700" w:type="dxa"/>
            <w:tcMar>
              <w:top w:w="0" w:type="dxa"/>
              <w:bottom w:w="0" w:type="dxa"/>
            </w:tcMar>
            <w:vAlign w:val="center"/>
          </w:tcPr>
          <w:p w:rsidR="00565EAC" w:rsidRDefault="001F4708">
            <w:pPr>
              <w:keepNext/>
              <w:keepLines/>
              <w:spacing w:after="0" w:line="240" w:lineRule="auto"/>
            </w:pPr>
            <w:r>
              <w:rPr>
                <w:b/>
                <w:sz w:val="18"/>
              </w:rPr>
              <w:t>X001</w:t>
            </w:r>
          </w:p>
        </w:tc>
        <w:tc>
          <w:tcPr>
            <w:tcW w:w="1860" w:type="dxa"/>
            <w:tcMar>
              <w:top w:w="0" w:type="dxa"/>
              <w:bottom w:w="0" w:type="dxa"/>
            </w:tcMar>
            <w:vAlign w:val="center"/>
          </w:tcPr>
          <w:p w:rsidR="00565EAC" w:rsidRDefault="001F4708">
            <w:pPr>
              <w:keepNext/>
              <w:keepLines/>
              <w:spacing w:after="0" w:line="240" w:lineRule="auto"/>
              <w:jc w:val="right"/>
            </w:pPr>
            <w:r>
              <w:rPr>
                <w:b/>
                <w:sz w:val="18"/>
              </w:rPr>
              <w:t>474.542,11</w:t>
            </w:r>
          </w:p>
        </w:tc>
        <w:tc>
          <w:tcPr>
            <w:tcW w:w="1860" w:type="dxa"/>
            <w:tcMar>
              <w:top w:w="0" w:type="dxa"/>
              <w:bottom w:w="0" w:type="dxa"/>
            </w:tcMar>
            <w:vAlign w:val="center"/>
          </w:tcPr>
          <w:p w:rsidR="00565EAC" w:rsidRDefault="001F4708">
            <w:pPr>
              <w:keepNext/>
              <w:keepLines/>
              <w:spacing w:after="0" w:line="240" w:lineRule="auto"/>
              <w:jc w:val="right"/>
            </w:pPr>
            <w:r>
              <w:rPr>
                <w:b/>
                <w:sz w:val="18"/>
              </w:rPr>
              <w:t>120.199,20</w:t>
            </w:r>
          </w:p>
        </w:tc>
        <w:tc>
          <w:tcPr>
            <w:tcW w:w="700" w:type="dxa"/>
            <w:tcMar>
              <w:top w:w="0" w:type="dxa"/>
              <w:bottom w:w="0" w:type="dxa"/>
            </w:tcMar>
            <w:vAlign w:val="center"/>
          </w:tcPr>
          <w:p w:rsidR="00565EAC" w:rsidRDefault="001F4708">
            <w:pPr>
              <w:keepNext/>
              <w:keepLines/>
              <w:spacing w:after="0" w:line="240" w:lineRule="auto"/>
              <w:jc w:val="right"/>
            </w:pPr>
            <w:r>
              <w:rPr>
                <w:b/>
                <w:sz w:val="18"/>
              </w:rPr>
              <w:t>25,3</w:t>
            </w:r>
          </w:p>
        </w:tc>
      </w:tr>
      <w:tr w:rsidR="00565EAC">
        <w:tblPrEx>
          <w:tblCellMar>
            <w:top w:w="0" w:type="dxa"/>
            <w:bottom w:w="0" w:type="dxa"/>
          </w:tblCellMar>
        </w:tblPrEx>
        <w:trPr>
          <w:cantSplit/>
          <w:trHeight w:val="560"/>
        </w:trPr>
        <w:tc>
          <w:tcPr>
            <w:tcW w:w="700" w:type="dxa"/>
            <w:tcMar>
              <w:top w:w="0" w:type="dxa"/>
              <w:bottom w:w="0" w:type="dxa"/>
            </w:tcMar>
            <w:vAlign w:val="center"/>
          </w:tcPr>
          <w:p w:rsidR="00565EAC" w:rsidRDefault="001F4708">
            <w:pPr>
              <w:keepNext/>
              <w:keepLines/>
              <w:spacing w:after="0" w:line="240" w:lineRule="auto"/>
            </w:pPr>
            <w:r>
              <w:rPr>
                <w:sz w:val="18"/>
              </w:rPr>
              <w:t>7</w:t>
            </w:r>
          </w:p>
        </w:tc>
        <w:tc>
          <w:tcPr>
            <w:tcW w:w="3180" w:type="dxa"/>
            <w:tcMar>
              <w:top w:w="0" w:type="dxa"/>
              <w:bottom w:w="0" w:type="dxa"/>
            </w:tcMar>
            <w:vAlign w:val="center"/>
          </w:tcPr>
          <w:p w:rsidR="00565EAC" w:rsidRDefault="001F4708">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565EAC" w:rsidRDefault="001F4708">
            <w:pPr>
              <w:keepNext/>
              <w:keepLines/>
              <w:spacing w:after="0" w:line="240" w:lineRule="auto"/>
            </w:pPr>
            <w:r>
              <w:rPr>
                <w:sz w:val="18"/>
              </w:rPr>
              <w:t>7</w:t>
            </w:r>
          </w:p>
        </w:tc>
        <w:tc>
          <w:tcPr>
            <w:tcW w:w="1860" w:type="dxa"/>
            <w:tcMar>
              <w:top w:w="0" w:type="dxa"/>
              <w:bottom w:w="0" w:type="dxa"/>
            </w:tcMar>
            <w:vAlign w:val="center"/>
          </w:tcPr>
          <w:p w:rsidR="00565EAC" w:rsidRDefault="001F4708">
            <w:pPr>
              <w:keepNext/>
              <w:keepLines/>
              <w:spacing w:after="0" w:line="240" w:lineRule="auto"/>
              <w:jc w:val="right"/>
            </w:pPr>
            <w:r>
              <w:rPr>
                <w:sz w:val="18"/>
              </w:rPr>
              <w:t>0,00</w:t>
            </w:r>
          </w:p>
        </w:tc>
        <w:tc>
          <w:tcPr>
            <w:tcW w:w="1860" w:type="dxa"/>
            <w:tcMar>
              <w:top w:w="0" w:type="dxa"/>
              <w:bottom w:w="0" w:type="dxa"/>
            </w:tcMar>
            <w:vAlign w:val="center"/>
          </w:tcPr>
          <w:p w:rsidR="00565EAC" w:rsidRDefault="001F4708">
            <w:pPr>
              <w:keepNext/>
              <w:keepLines/>
              <w:spacing w:after="0" w:line="240" w:lineRule="auto"/>
              <w:jc w:val="right"/>
            </w:pPr>
            <w:r>
              <w:rPr>
                <w:sz w:val="18"/>
              </w:rPr>
              <w:t>10.525,49</w:t>
            </w:r>
          </w:p>
        </w:tc>
        <w:tc>
          <w:tcPr>
            <w:tcW w:w="700" w:type="dxa"/>
            <w:tcMar>
              <w:top w:w="0" w:type="dxa"/>
              <w:bottom w:w="0" w:type="dxa"/>
            </w:tcMar>
            <w:vAlign w:val="center"/>
          </w:tcPr>
          <w:p w:rsidR="00565EAC" w:rsidRDefault="001F4708">
            <w:pPr>
              <w:keepNext/>
              <w:keepLines/>
              <w:spacing w:after="0" w:line="240" w:lineRule="auto"/>
              <w:jc w:val="right"/>
            </w:pPr>
            <w:r>
              <w:rPr>
                <w:sz w:val="18"/>
              </w:rPr>
              <w:t>-</w:t>
            </w:r>
          </w:p>
        </w:tc>
      </w:tr>
      <w:tr w:rsidR="00565EAC">
        <w:tblPrEx>
          <w:tblCellMar>
            <w:top w:w="0" w:type="dxa"/>
            <w:bottom w:w="0" w:type="dxa"/>
          </w:tblCellMar>
        </w:tblPrEx>
        <w:trPr>
          <w:cantSplit/>
          <w:trHeight w:val="560"/>
        </w:trPr>
        <w:tc>
          <w:tcPr>
            <w:tcW w:w="700" w:type="dxa"/>
            <w:tcMar>
              <w:top w:w="0" w:type="dxa"/>
              <w:bottom w:w="0" w:type="dxa"/>
            </w:tcMar>
            <w:vAlign w:val="center"/>
          </w:tcPr>
          <w:p w:rsidR="00565EAC" w:rsidRDefault="001F4708">
            <w:pPr>
              <w:keepNext/>
              <w:keepLines/>
              <w:spacing w:after="0" w:line="240" w:lineRule="auto"/>
            </w:pPr>
            <w:r>
              <w:rPr>
                <w:sz w:val="18"/>
              </w:rPr>
              <w:t>4</w:t>
            </w:r>
          </w:p>
        </w:tc>
        <w:tc>
          <w:tcPr>
            <w:tcW w:w="3180" w:type="dxa"/>
            <w:tcMar>
              <w:top w:w="0" w:type="dxa"/>
              <w:bottom w:w="0" w:type="dxa"/>
            </w:tcMar>
            <w:vAlign w:val="center"/>
          </w:tcPr>
          <w:p w:rsidR="00565EAC" w:rsidRDefault="001F4708">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565EAC" w:rsidRDefault="001F4708">
            <w:pPr>
              <w:keepNext/>
              <w:keepLines/>
              <w:spacing w:after="0" w:line="240" w:lineRule="auto"/>
            </w:pPr>
            <w:r>
              <w:rPr>
                <w:sz w:val="18"/>
              </w:rPr>
              <w:t>4</w:t>
            </w:r>
          </w:p>
        </w:tc>
        <w:tc>
          <w:tcPr>
            <w:tcW w:w="1860" w:type="dxa"/>
            <w:tcMar>
              <w:top w:w="0" w:type="dxa"/>
              <w:bottom w:w="0" w:type="dxa"/>
            </w:tcMar>
            <w:vAlign w:val="center"/>
          </w:tcPr>
          <w:p w:rsidR="00565EAC" w:rsidRDefault="001F4708">
            <w:pPr>
              <w:keepNext/>
              <w:keepLines/>
              <w:spacing w:after="0" w:line="240" w:lineRule="auto"/>
              <w:jc w:val="right"/>
            </w:pPr>
            <w:r>
              <w:rPr>
                <w:sz w:val="18"/>
              </w:rPr>
              <w:t>546.718,75</w:t>
            </w:r>
          </w:p>
        </w:tc>
        <w:tc>
          <w:tcPr>
            <w:tcW w:w="1860" w:type="dxa"/>
            <w:tcMar>
              <w:top w:w="0" w:type="dxa"/>
              <w:bottom w:w="0" w:type="dxa"/>
            </w:tcMar>
            <w:vAlign w:val="center"/>
          </w:tcPr>
          <w:p w:rsidR="00565EAC" w:rsidRDefault="001F4708">
            <w:pPr>
              <w:keepNext/>
              <w:keepLines/>
              <w:spacing w:after="0" w:line="240" w:lineRule="auto"/>
              <w:jc w:val="right"/>
            </w:pPr>
            <w:r>
              <w:rPr>
                <w:sz w:val="18"/>
              </w:rPr>
              <w:t>112.157,19</w:t>
            </w:r>
          </w:p>
        </w:tc>
        <w:tc>
          <w:tcPr>
            <w:tcW w:w="700" w:type="dxa"/>
            <w:tcMar>
              <w:top w:w="0" w:type="dxa"/>
              <w:bottom w:w="0" w:type="dxa"/>
            </w:tcMar>
            <w:vAlign w:val="center"/>
          </w:tcPr>
          <w:p w:rsidR="00565EAC" w:rsidRDefault="001F4708">
            <w:pPr>
              <w:keepNext/>
              <w:keepLines/>
              <w:spacing w:after="0" w:line="240" w:lineRule="auto"/>
              <w:jc w:val="right"/>
            </w:pPr>
            <w:r>
              <w:rPr>
                <w:sz w:val="18"/>
              </w:rPr>
              <w:t>20,5</w:t>
            </w:r>
          </w:p>
        </w:tc>
      </w:tr>
      <w:tr w:rsidR="00565EAC">
        <w:tblPrEx>
          <w:tblCellMar>
            <w:top w:w="0" w:type="dxa"/>
            <w:bottom w:w="0" w:type="dxa"/>
          </w:tblCellMar>
        </w:tblPrEx>
        <w:trPr>
          <w:cantSplit/>
          <w:trHeight w:val="560"/>
        </w:trPr>
        <w:tc>
          <w:tcPr>
            <w:tcW w:w="700" w:type="dxa"/>
            <w:tcMar>
              <w:top w:w="0" w:type="dxa"/>
              <w:bottom w:w="0" w:type="dxa"/>
            </w:tcMar>
            <w:vAlign w:val="center"/>
          </w:tcPr>
          <w:p w:rsidR="00565EAC" w:rsidRDefault="00565EAC">
            <w:pPr>
              <w:keepNext/>
              <w:keepLines/>
              <w:spacing w:after="0" w:line="240" w:lineRule="auto"/>
            </w:pPr>
          </w:p>
        </w:tc>
        <w:tc>
          <w:tcPr>
            <w:tcW w:w="3180" w:type="dxa"/>
            <w:tcMar>
              <w:top w:w="0" w:type="dxa"/>
              <w:bottom w:w="0" w:type="dxa"/>
            </w:tcMar>
            <w:vAlign w:val="center"/>
          </w:tcPr>
          <w:p w:rsidR="00565EAC" w:rsidRDefault="001F4708">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565EAC" w:rsidRDefault="001F4708">
            <w:pPr>
              <w:keepNext/>
              <w:keepLines/>
              <w:spacing w:after="0" w:line="240" w:lineRule="auto"/>
            </w:pPr>
            <w:r>
              <w:rPr>
                <w:b/>
                <w:sz w:val="18"/>
              </w:rPr>
              <w:t>Y002</w:t>
            </w:r>
          </w:p>
        </w:tc>
        <w:tc>
          <w:tcPr>
            <w:tcW w:w="1860" w:type="dxa"/>
            <w:tcMar>
              <w:top w:w="0" w:type="dxa"/>
              <w:bottom w:w="0" w:type="dxa"/>
            </w:tcMar>
            <w:vAlign w:val="center"/>
          </w:tcPr>
          <w:p w:rsidR="00565EAC" w:rsidRDefault="001F4708">
            <w:pPr>
              <w:keepNext/>
              <w:keepLines/>
              <w:spacing w:after="0" w:line="240" w:lineRule="auto"/>
              <w:jc w:val="right"/>
            </w:pPr>
            <w:r>
              <w:rPr>
                <w:b/>
                <w:sz w:val="18"/>
              </w:rPr>
              <w:t>546.718,75</w:t>
            </w:r>
          </w:p>
        </w:tc>
        <w:tc>
          <w:tcPr>
            <w:tcW w:w="1860" w:type="dxa"/>
            <w:tcMar>
              <w:top w:w="0" w:type="dxa"/>
              <w:bottom w:w="0" w:type="dxa"/>
            </w:tcMar>
            <w:vAlign w:val="center"/>
          </w:tcPr>
          <w:p w:rsidR="00565EAC" w:rsidRDefault="001F4708">
            <w:pPr>
              <w:keepNext/>
              <w:keepLines/>
              <w:spacing w:after="0" w:line="240" w:lineRule="auto"/>
              <w:jc w:val="right"/>
            </w:pPr>
            <w:r>
              <w:rPr>
                <w:b/>
                <w:sz w:val="18"/>
              </w:rPr>
              <w:t>101.631,70</w:t>
            </w:r>
          </w:p>
        </w:tc>
        <w:tc>
          <w:tcPr>
            <w:tcW w:w="700" w:type="dxa"/>
            <w:tcMar>
              <w:top w:w="0" w:type="dxa"/>
              <w:bottom w:w="0" w:type="dxa"/>
            </w:tcMar>
            <w:vAlign w:val="center"/>
          </w:tcPr>
          <w:p w:rsidR="00565EAC" w:rsidRDefault="001F4708">
            <w:pPr>
              <w:keepNext/>
              <w:keepLines/>
              <w:spacing w:after="0" w:line="240" w:lineRule="auto"/>
              <w:jc w:val="right"/>
            </w:pPr>
            <w:r>
              <w:rPr>
                <w:b/>
                <w:sz w:val="18"/>
              </w:rPr>
              <w:t>18,6</w:t>
            </w:r>
          </w:p>
        </w:tc>
      </w:tr>
      <w:tr w:rsidR="00565EAC">
        <w:tblPrEx>
          <w:tblCellMar>
            <w:top w:w="0" w:type="dxa"/>
            <w:bottom w:w="0" w:type="dxa"/>
          </w:tblCellMar>
        </w:tblPrEx>
        <w:trPr>
          <w:cantSplit/>
          <w:trHeight w:val="560"/>
        </w:trPr>
        <w:tc>
          <w:tcPr>
            <w:tcW w:w="700" w:type="dxa"/>
            <w:tcMar>
              <w:top w:w="0" w:type="dxa"/>
              <w:bottom w:w="0" w:type="dxa"/>
            </w:tcMar>
            <w:vAlign w:val="center"/>
          </w:tcPr>
          <w:p w:rsidR="00565EAC" w:rsidRDefault="001F4708">
            <w:pPr>
              <w:keepNext/>
              <w:keepLines/>
              <w:spacing w:after="0" w:line="240" w:lineRule="auto"/>
            </w:pPr>
            <w:r>
              <w:rPr>
                <w:sz w:val="18"/>
              </w:rPr>
              <w:t>8</w:t>
            </w:r>
          </w:p>
        </w:tc>
        <w:tc>
          <w:tcPr>
            <w:tcW w:w="3180" w:type="dxa"/>
            <w:tcMar>
              <w:top w:w="0" w:type="dxa"/>
              <w:bottom w:w="0" w:type="dxa"/>
            </w:tcMar>
            <w:vAlign w:val="center"/>
          </w:tcPr>
          <w:p w:rsidR="00565EAC" w:rsidRDefault="001F4708">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565EAC" w:rsidRDefault="001F4708">
            <w:pPr>
              <w:keepNext/>
              <w:keepLines/>
              <w:spacing w:after="0" w:line="240" w:lineRule="auto"/>
            </w:pPr>
            <w:r>
              <w:rPr>
                <w:sz w:val="18"/>
              </w:rPr>
              <w:t>8</w:t>
            </w:r>
          </w:p>
        </w:tc>
        <w:tc>
          <w:tcPr>
            <w:tcW w:w="1860" w:type="dxa"/>
            <w:tcMar>
              <w:top w:w="0" w:type="dxa"/>
              <w:bottom w:w="0" w:type="dxa"/>
            </w:tcMar>
            <w:vAlign w:val="center"/>
          </w:tcPr>
          <w:p w:rsidR="00565EAC" w:rsidRDefault="001F4708">
            <w:pPr>
              <w:keepNext/>
              <w:keepLines/>
              <w:spacing w:after="0" w:line="240" w:lineRule="auto"/>
              <w:jc w:val="right"/>
            </w:pPr>
            <w:r>
              <w:rPr>
                <w:sz w:val="18"/>
              </w:rPr>
              <w:t>0,00</w:t>
            </w:r>
          </w:p>
        </w:tc>
        <w:tc>
          <w:tcPr>
            <w:tcW w:w="1860" w:type="dxa"/>
            <w:tcMar>
              <w:top w:w="0" w:type="dxa"/>
              <w:bottom w:w="0" w:type="dxa"/>
            </w:tcMar>
            <w:vAlign w:val="center"/>
          </w:tcPr>
          <w:p w:rsidR="00565EAC" w:rsidRDefault="001F4708">
            <w:pPr>
              <w:keepNext/>
              <w:keepLines/>
              <w:spacing w:after="0" w:line="240" w:lineRule="auto"/>
              <w:jc w:val="right"/>
            </w:pPr>
            <w:r>
              <w:rPr>
                <w:sz w:val="18"/>
              </w:rPr>
              <w:t>400.600,00</w:t>
            </w:r>
          </w:p>
        </w:tc>
        <w:tc>
          <w:tcPr>
            <w:tcW w:w="700" w:type="dxa"/>
            <w:tcMar>
              <w:top w:w="0" w:type="dxa"/>
              <w:bottom w:w="0" w:type="dxa"/>
            </w:tcMar>
            <w:vAlign w:val="center"/>
          </w:tcPr>
          <w:p w:rsidR="00565EAC" w:rsidRDefault="001F4708">
            <w:pPr>
              <w:keepNext/>
              <w:keepLines/>
              <w:spacing w:after="0" w:line="240" w:lineRule="auto"/>
              <w:jc w:val="right"/>
            </w:pPr>
            <w:r>
              <w:rPr>
                <w:sz w:val="18"/>
              </w:rPr>
              <w:t>-</w:t>
            </w:r>
          </w:p>
        </w:tc>
      </w:tr>
      <w:tr w:rsidR="00565EAC">
        <w:tblPrEx>
          <w:tblCellMar>
            <w:top w:w="0" w:type="dxa"/>
            <w:bottom w:w="0" w:type="dxa"/>
          </w:tblCellMar>
        </w:tblPrEx>
        <w:trPr>
          <w:cantSplit/>
          <w:trHeight w:val="560"/>
        </w:trPr>
        <w:tc>
          <w:tcPr>
            <w:tcW w:w="700" w:type="dxa"/>
            <w:tcMar>
              <w:top w:w="0" w:type="dxa"/>
              <w:bottom w:w="0" w:type="dxa"/>
            </w:tcMar>
            <w:vAlign w:val="center"/>
          </w:tcPr>
          <w:p w:rsidR="00565EAC" w:rsidRDefault="001F4708">
            <w:pPr>
              <w:keepNext/>
              <w:keepLines/>
              <w:spacing w:after="0" w:line="240" w:lineRule="auto"/>
            </w:pPr>
            <w:r>
              <w:rPr>
                <w:sz w:val="18"/>
              </w:rPr>
              <w:t>5</w:t>
            </w:r>
          </w:p>
        </w:tc>
        <w:tc>
          <w:tcPr>
            <w:tcW w:w="3180" w:type="dxa"/>
            <w:tcMar>
              <w:top w:w="0" w:type="dxa"/>
              <w:bottom w:w="0" w:type="dxa"/>
            </w:tcMar>
            <w:vAlign w:val="center"/>
          </w:tcPr>
          <w:p w:rsidR="00565EAC" w:rsidRDefault="001F4708">
            <w:pPr>
              <w:keepNext/>
              <w:keepLines/>
              <w:spacing w:after="0" w:line="240" w:lineRule="auto"/>
            </w:pPr>
            <w:r>
              <w:rPr>
                <w:sz w:val="18"/>
              </w:rPr>
              <w:t xml:space="preserve">Izdaci za financijsku imovinu i otplate zajmova (šifre </w:t>
            </w:r>
            <w:r>
              <w:rPr>
                <w:sz w:val="18"/>
              </w:rPr>
              <w:t>51+52+53+54+55)</w:t>
            </w:r>
          </w:p>
        </w:tc>
        <w:tc>
          <w:tcPr>
            <w:tcW w:w="700" w:type="dxa"/>
            <w:tcMar>
              <w:top w:w="0" w:type="dxa"/>
              <w:bottom w:w="0" w:type="dxa"/>
            </w:tcMar>
            <w:vAlign w:val="center"/>
          </w:tcPr>
          <w:p w:rsidR="00565EAC" w:rsidRDefault="001F4708">
            <w:pPr>
              <w:keepNext/>
              <w:keepLines/>
              <w:spacing w:after="0" w:line="240" w:lineRule="auto"/>
            </w:pPr>
            <w:r>
              <w:rPr>
                <w:sz w:val="18"/>
              </w:rPr>
              <w:t>5</w:t>
            </w:r>
          </w:p>
        </w:tc>
        <w:tc>
          <w:tcPr>
            <w:tcW w:w="1860" w:type="dxa"/>
            <w:tcMar>
              <w:top w:w="0" w:type="dxa"/>
              <w:bottom w:w="0" w:type="dxa"/>
            </w:tcMar>
            <w:vAlign w:val="center"/>
          </w:tcPr>
          <w:p w:rsidR="00565EAC" w:rsidRDefault="001F4708">
            <w:pPr>
              <w:keepNext/>
              <w:keepLines/>
              <w:spacing w:after="0" w:line="240" w:lineRule="auto"/>
              <w:jc w:val="right"/>
            </w:pPr>
            <w:r>
              <w:rPr>
                <w:sz w:val="18"/>
              </w:rPr>
              <w:t>0,00</w:t>
            </w:r>
          </w:p>
        </w:tc>
        <w:tc>
          <w:tcPr>
            <w:tcW w:w="1860" w:type="dxa"/>
            <w:tcMar>
              <w:top w:w="0" w:type="dxa"/>
              <w:bottom w:w="0" w:type="dxa"/>
            </w:tcMar>
            <w:vAlign w:val="center"/>
          </w:tcPr>
          <w:p w:rsidR="00565EAC" w:rsidRDefault="001F4708">
            <w:pPr>
              <w:keepNext/>
              <w:keepLines/>
              <w:spacing w:after="0" w:line="240" w:lineRule="auto"/>
              <w:jc w:val="right"/>
            </w:pPr>
            <w:r>
              <w:rPr>
                <w:sz w:val="18"/>
              </w:rPr>
              <w:t>34.278,89</w:t>
            </w:r>
          </w:p>
        </w:tc>
        <w:tc>
          <w:tcPr>
            <w:tcW w:w="700" w:type="dxa"/>
            <w:tcMar>
              <w:top w:w="0" w:type="dxa"/>
              <w:bottom w:w="0" w:type="dxa"/>
            </w:tcMar>
            <w:vAlign w:val="center"/>
          </w:tcPr>
          <w:p w:rsidR="00565EAC" w:rsidRDefault="001F4708">
            <w:pPr>
              <w:keepNext/>
              <w:keepLines/>
              <w:spacing w:after="0" w:line="240" w:lineRule="auto"/>
              <w:jc w:val="right"/>
            </w:pPr>
            <w:r>
              <w:rPr>
                <w:sz w:val="18"/>
              </w:rPr>
              <w:t>-</w:t>
            </w:r>
          </w:p>
        </w:tc>
      </w:tr>
      <w:tr w:rsidR="00565EAC">
        <w:tblPrEx>
          <w:tblCellMar>
            <w:top w:w="0" w:type="dxa"/>
            <w:bottom w:w="0" w:type="dxa"/>
          </w:tblCellMar>
        </w:tblPrEx>
        <w:trPr>
          <w:cantSplit/>
          <w:trHeight w:val="560"/>
        </w:trPr>
        <w:tc>
          <w:tcPr>
            <w:tcW w:w="700" w:type="dxa"/>
            <w:tcMar>
              <w:top w:w="0" w:type="dxa"/>
              <w:bottom w:w="0" w:type="dxa"/>
            </w:tcMar>
            <w:vAlign w:val="center"/>
          </w:tcPr>
          <w:p w:rsidR="00565EAC" w:rsidRDefault="00565EAC">
            <w:pPr>
              <w:keepNext/>
              <w:keepLines/>
              <w:spacing w:after="0" w:line="240" w:lineRule="auto"/>
            </w:pPr>
          </w:p>
        </w:tc>
        <w:tc>
          <w:tcPr>
            <w:tcW w:w="3180" w:type="dxa"/>
            <w:tcMar>
              <w:top w:w="0" w:type="dxa"/>
              <w:bottom w:w="0" w:type="dxa"/>
            </w:tcMar>
            <w:vAlign w:val="center"/>
          </w:tcPr>
          <w:p w:rsidR="00565EAC" w:rsidRDefault="001F4708">
            <w:pPr>
              <w:keepNext/>
              <w:keepLines/>
              <w:spacing w:after="0" w:line="240" w:lineRule="auto"/>
            </w:pPr>
            <w:r>
              <w:rPr>
                <w:b/>
                <w:sz w:val="18"/>
              </w:rPr>
              <w:t>VIŠAK PRIMITAKA OD FINANCIJSKE IMOVINE I ZADUŽIVANJA (šifre 8-5)</w:t>
            </w:r>
          </w:p>
        </w:tc>
        <w:tc>
          <w:tcPr>
            <w:tcW w:w="700" w:type="dxa"/>
            <w:tcMar>
              <w:top w:w="0" w:type="dxa"/>
              <w:bottom w:w="0" w:type="dxa"/>
            </w:tcMar>
            <w:vAlign w:val="center"/>
          </w:tcPr>
          <w:p w:rsidR="00565EAC" w:rsidRDefault="001F4708">
            <w:pPr>
              <w:keepNext/>
              <w:keepLines/>
              <w:spacing w:after="0" w:line="240" w:lineRule="auto"/>
            </w:pPr>
            <w:r>
              <w:rPr>
                <w:b/>
                <w:sz w:val="18"/>
              </w:rPr>
              <w:t>X003</w:t>
            </w:r>
          </w:p>
        </w:tc>
        <w:tc>
          <w:tcPr>
            <w:tcW w:w="1860" w:type="dxa"/>
            <w:tcMar>
              <w:top w:w="0" w:type="dxa"/>
              <w:bottom w:w="0" w:type="dxa"/>
            </w:tcMar>
            <w:vAlign w:val="center"/>
          </w:tcPr>
          <w:p w:rsidR="00565EAC" w:rsidRDefault="001F4708">
            <w:pPr>
              <w:keepNext/>
              <w:keepLines/>
              <w:spacing w:after="0" w:line="240" w:lineRule="auto"/>
              <w:jc w:val="right"/>
            </w:pPr>
            <w:r>
              <w:rPr>
                <w:b/>
                <w:sz w:val="18"/>
              </w:rPr>
              <w:t>0,00</w:t>
            </w:r>
          </w:p>
        </w:tc>
        <w:tc>
          <w:tcPr>
            <w:tcW w:w="1860" w:type="dxa"/>
            <w:tcMar>
              <w:top w:w="0" w:type="dxa"/>
              <w:bottom w:w="0" w:type="dxa"/>
            </w:tcMar>
            <w:vAlign w:val="center"/>
          </w:tcPr>
          <w:p w:rsidR="00565EAC" w:rsidRDefault="001F4708">
            <w:pPr>
              <w:keepNext/>
              <w:keepLines/>
              <w:spacing w:after="0" w:line="240" w:lineRule="auto"/>
              <w:jc w:val="right"/>
            </w:pPr>
            <w:r>
              <w:rPr>
                <w:b/>
                <w:sz w:val="18"/>
              </w:rPr>
              <w:t>366.321,11</w:t>
            </w:r>
          </w:p>
        </w:tc>
        <w:tc>
          <w:tcPr>
            <w:tcW w:w="700" w:type="dxa"/>
            <w:tcMar>
              <w:top w:w="0" w:type="dxa"/>
              <w:bottom w:w="0" w:type="dxa"/>
            </w:tcMar>
            <w:vAlign w:val="center"/>
          </w:tcPr>
          <w:p w:rsidR="00565EAC" w:rsidRDefault="001F4708">
            <w:pPr>
              <w:keepNext/>
              <w:keepLines/>
              <w:spacing w:after="0" w:line="240" w:lineRule="auto"/>
              <w:jc w:val="right"/>
            </w:pPr>
            <w:r>
              <w:rPr>
                <w:b/>
                <w:sz w:val="18"/>
              </w:rPr>
              <w:t>-</w:t>
            </w:r>
          </w:p>
        </w:tc>
      </w:tr>
      <w:tr w:rsidR="00565EAC">
        <w:tblPrEx>
          <w:tblCellMar>
            <w:top w:w="0" w:type="dxa"/>
            <w:bottom w:w="0" w:type="dxa"/>
          </w:tblCellMar>
        </w:tblPrEx>
        <w:trPr>
          <w:cantSplit/>
          <w:trHeight w:val="560"/>
        </w:trPr>
        <w:tc>
          <w:tcPr>
            <w:tcW w:w="700" w:type="dxa"/>
            <w:tcMar>
              <w:top w:w="0" w:type="dxa"/>
              <w:bottom w:w="0" w:type="dxa"/>
            </w:tcMar>
            <w:vAlign w:val="center"/>
          </w:tcPr>
          <w:p w:rsidR="00565EAC" w:rsidRDefault="00565EAC">
            <w:pPr>
              <w:keepNext/>
              <w:keepLines/>
              <w:spacing w:after="0" w:line="240" w:lineRule="auto"/>
            </w:pPr>
          </w:p>
        </w:tc>
        <w:tc>
          <w:tcPr>
            <w:tcW w:w="3180" w:type="dxa"/>
            <w:tcMar>
              <w:top w:w="0" w:type="dxa"/>
              <w:bottom w:w="0" w:type="dxa"/>
            </w:tcMar>
            <w:vAlign w:val="center"/>
          </w:tcPr>
          <w:p w:rsidR="00565EAC" w:rsidRDefault="001F4708">
            <w:pPr>
              <w:keepNext/>
              <w:keepLines/>
              <w:spacing w:after="0" w:line="240" w:lineRule="auto"/>
            </w:pPr>
            <w:r>
              <w:rPr>
                <w:b/>
                <w:sz w:val="18"/>
              </w:rPr>
              <w:t>VIŠAK PRIHODA I PRIMITAKA (šifre X678-Y345)</w:t>
            </w:r>
          </w:p>
        </w:tc>
        <w:tc>
          <w:tcPr>
            <w:tcW w:w="700" w:type="dxa"/>
            <w:tcMar>
              <w:top w:w="0" w:type="dxa"/>
              <w:bottom w:w="0" w:type="dxa"/>
            </w:tcMar>
            <w:vAlign w:val="center"/>
          </w:tcPr>
          <w:p w:rsidR="00565EAC" w:rsidRDefault="001F4708">
            <w:pPr>
              <w:keepNext/>
              <w:keepLines/>
              <w:spacing w:after="0" w:line="240" w:lineRule="auto"/>
            </w:pPr>
            <w:r>
              <w:rPr>
                <w:b/>
                <w:sz w:val="18"/>
              </w:rPr>
              <w:t>X005</w:t>
            </w:r>
          </w:p>
        </w:tc>
        <w:tc>
          <w:tcPr>
            <w:tcW w:w="1860" w:type="dxa"/>
            <w:tcMar>
              <w:top w:w="0" w:type="dxa"/>
              <w:bottom w:w="0" w:type="dxa"/>
            </w:tcMar>
            <w:vAlign w:val="center"/>
          </w:tcPr>
          <w:p w:rsidR="00565EAC" w:rsidRDefault="001F4708">
            <w:pPr>
              <w:keepNext/>
              <w:keepLines/>
              <w:spacing w:after="0" w:line="240" w:lineRule="auto"/>
              <w:jc w:val="right"/>
            </w:pPr>
            <w:r>
              <w:rPr>
                <w:b/>
                <w:sz w:val="18"/>
              </w:rPr>
              <w:t>0,00</w:t>
            </w:r>
          </w:p>
        </w:tc>
        <w:tc>
          <w:tcPr>
            <w:tcW w:w="1860" w:type="dxa"/>
            <w:tcMar>
              <w:top w:w="0" w:type="dxa"/>
              <w:bottom w:w="0" w:type="dxa"/>
            </w:tcMar>
            <w:vAlign w:val="center"/>
          </w:tcPr>
          <w:p w:rsidR="00565EAC" w:rsidRDefault="001F4708">
            <w:pPr>
              <w:keepNext/>
              <w:keepLines/>
              <w:spacing w:after="0" w:line="240" w:lineRule="auto"/>
              <w:jc w:val="right"/>
            </w:pPr>
            <w:r>
              <w:rPr>
                <w:b/>
                <w:sz w:val="18"/>
              </w:rPr>
              <w:t>384.888,61</w:t>
            </w:r>
          </w:p>
        </w:tc>
        <w:tc>
          <w:tcPr>
            <w:tcW w:w="700" w:type="dxa"/>
            <w:tcMar>
              <w:top w:w="0" w:type="dxa"/>
              <w:bottom w:w="0" w:type="dxa"/>
            </w:tcMar>
            <w:vAlign w:val="center"/>
          </w:tcPr>
          <w:p w:rsidR="00565EAC" w:rsidRDefault="001F4708">
            <w:pPr>
              <w:keepNext/>
              <w:keepLines/>
              <w:spacing w:after="0" w:line="240" w:lineRule="auto"/>
              <w:jc w:val="right"/>
            </w:pPr>
            <w:r>
              <w:rPr>
                <w:b/>
                <w:sz w:val="18"/>
              </w:rPr>
              <w:t>-</w:t>
            </w:r>
          </w:p>
        </w:tc>
      </w:tr>
    </w:tbl>
    <w:p w:rsidR="00565EAC" w:rsidRDefault="00565EAC">
      <w:pPr>
        <w:spacing w:after="0"/>
      </w:pPr>
    </w:p>
    <w:p w:rsidR="00565EAC" w:rsidRDefault="001F4708">
      <w:r>
        <w:t>U obrascu PR-RAS iskazani su ukupni prihodi poslovanja u iznosu od 557.886,30, dok ukupni rashodi poslovanja iznose 437.687,10. Ostvaren je višak prihoda poslovanja u iznosu od 120.199,20.</w:t>
      </w:r>
    </w:p>
    <w:p w:rsidR="00565EAC" w:rsidRDefault="001F4708">
      <w:r>
        <w:t>Ukupni prihodi od prodaje nefinancijske imovine iznose 10.525,49, d</w:t>
      </w:r>
      <w:r>
        <w:t>ok rashodi za nabavu nefinancijske imovine iznose 112.157,19, što rezultira manjkom prihoda od nefinancijske imovine u iznosu od 101.631,70.</w:t>
      </w:r>
    </w:p>
    <w:p w:rsidR="00565EAC" w:rsidRDefault="001F4708">
      <w:r>
        <w:lastRenderedPageBreak/>
        <w:t>Ukupni primici od financijske imovine i zaduživanja iznose 400.600,00, a odnosi se na primljeni kratkoročni zajam k</w:t>
      </w:r>
      <w:r>
        <w:t>oji je potreban za premostiti razliku između naplate privremenih situacija i primljenih kapitalnih pomoći, dok izdaci za financijsku imovinu i otplate zajmova iznose 34.278,89, čime je ostvaren višak od financijske imovine i zaduživanja u iznosu od 366.321</w:t>
      </w:r>
      <w:r>
        <w:t>,11.</w:t>
      </w:r>
    </w:p>
    <w:p w:rsidR="00565EAC" w:rsidRDefault="001F4708">
      <w:r>
        <w:t>Ukupan višak prihoda i primitaka na kraju razdoblja iznosi 384.888,61.</w:t>
      </w:r>
    </w:p>
    <w:p w:rsidR="00565EAC" w:rsidRDefault="001F4708">
      <w:r>
        <w:br/>
      </w:r>
    </w:p>
    <w:p w:rsidR="00565EAC" w:rsidRDefault="001F4708">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65EAC">
        <w:tblPrEx>
          <w:tblCellMar>
            <w:top w:w="0" w:type="dxa"/>
            <w:bottom w:w="0" w:type="dxa"/>
          </w:tblCellMar>
        </w:tblPrEx>
        <w:trPr>
          <w:cantSplit/>
        </w:trPr>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Indeks (%)</w:t>
            </w:r>
          </w:p>
        </w:tc>
      </w:tr>
      <w:tr w:rsidR="00565EAC">
        <w:tblPrEx>
          <w:tblCellMar>
            <w:top w:w="0" w:type="dxa"/>
            <w:bottom w:w="0" w:type="dxa"/>
          </w:tblCellMar>
        </w:tblPrEx>
        <w:trPr>
          <w:cantSplit/>
          <w:trHeight w:val="560"/>
        </w:trPr>
        <w:tc>
          <w:tcPr>
            <w:tcW w:w="700" w:type="dxa"/>
            <w:tcMar>
              <w:top w:w="0" w:type="dxa"/>
              <w:bottom w:w="0" w:type="dxa"/>
            </w:tcMar>
            <w:vAlign w:val="center"/>
          </w:tcPr>
          <w:p w:rsidR="00565EAC" w:rsidRDefault="001F4708">
            <w:pPr>
              <w:keepNext/>
              <w:keepLines/>
              <w:spacing w:after="0" w:line="240" w:lineRule="auto"/>
            </w:pPr>
            <w:r>
              <w:rPr>
                <w:sz w:val="18"/>
              </w:rPr>
              <w:t>6</w:t>
            </w:r>
          </w:p>
        </w:tc>
        <w:tc>
          <w:tcPr>
            <w:tcW w:w="3180" w:type="dxa"/>
            <w:tcMar>
              <w:top w:w="0" w:type="dxa"/>
              <w:bottom w:w="0" w:type="dxa"/>
            </w:tcMar>
            <w:vAlign w:val="center"/>
          </w:tcPr>
          <w:p w:rsidR="00565EAC" w:rsidRDefault="001F4708">
            <w:pPr>
              <w:keepNext/>
              <w:keepLines/>
              <w:spacing w:after="0" w:line="240" w:lineRule="auto"/>
            </w:pPr>
            <w:r>
              <w:rPr>
                <w:sz w:val="18"/>
              </w:rPr>
              <w:t xml:space="preserve">PRIHODI </w:t>
            </w:r>
            <w:r>
              <w:rPr>
                <w:sz w:val="18"/>
              </w:rPr>
              <w:t>POSLOVANJA (šifre 61+62+63+64+65+66+67+68)</w:t>
            </w:r>
          </w:p>
        </w:tc>
        <w:tc>
          <w:tcPr>
            <w:tcW w:w="700" w:type="dxa"/>
            <w:tcMar>
              <w:top w:w="0" w:type="dxa"/>
              <w:bottom w:w="0" w:type="dxa"/>
            </w:tcMar>
            <w:vAlign w:val="center"/>
          </w:tcPr>
          <w:p w:rsidR="00565EAC" w:rsidRDefault="001F4708">
            <w:pPr>
              <w:keepNext/>
              <w:keepLines/>
              <w:spacing w:after="0" w:line="240" w:lineRule="auto"/>
            </w:pPr>
            <w:r>
              <w:rPr>
                <w:sz w:val="18"/>
              </w:rPr>
              <w:t>6</w:t>
            </w:r>
          </w:p>
        </w:tc>
        <w:tc>
          <w:tcPr>
            <w:tcW w:w="1860" w:type="dxa"/>
            <w:tcMar>
              <w:top w:w="0" w:type="dxa"/>
              <w:bottom w:w="0" w:type="dxa"/>
            </w:tcMar>
            <w:vAlign w:val="center"/>
          </w:tcPr>
          <w:p w:rsidR="00565EAC" w:rsidRDefault="001F4708">
            <w:pPr>
              <w:keepNext/>
              <w:keepLines/>
              <w:spacing w:after="0" w:line="240" w:lineRule="auto"/>
              <w:jc w:val="right"/>
            </w:pPr>
            <w:r>
              <w:rPr>
                <w:sz w:val="18"/>
              </w:rPr>
              <w:t>740.446,97</w:t>
            </w:r>
          </w:p>
        </w:tc>
        <w:tc>
          <w:tcPr>
            <w:tcW w:w="1860" w:type="dxa"/>
            <w:tcMar>
              <w:top w:w="0" w:type="dxa"/>
              <w:bottom w:w="0" w:type="dxa"/>
            </w:tcMar>
            <w:vAlign w:val="center"/>
          </w:tcPr>
          <w:p w:rsidR="00565EAC" w:rsidRDefault="001F4708">
            <w:pPr>
              <w:keepNext/>
              <w:keepLines/>
              <w:spacing w:after="0" w:line="240" w:lineRule="auto"/>
              <w:jc w:val="right"/>
            </w:pPr>
            <w:r>
              <w:rPr>
                <w:sz w:val="18"/>
              </w:rPr>
              <w:t>557.886,30</w:t>
            </w:r>
          </w:p>
        </w:tc>
        <w:tc>
          <w:tcPr>
            <w:tcW w:w="700" w:type="dxa"/>
            <w:tcMar>
              <w:top w:w="0" w:type="dxa"/>
              <w:bottom w:w="0" w:type="dxa"/>
            </w:tcMar>
            <w:vAlign w:val="center"/>
          </w:tcPr>
          <w:p w:rsidR="00565EAC" w:rsidRDefault="001F4708">
            <w:pPr>
              <w:keepNext/>
              <w:keepLines/>
              <w:spacing w:after="0" w:line="240" w:lineRule="auto"/>
              <w:jc w:val="right"/>
            </w:pPr>
            <w:r>
              <w:rPr>
                <w:sz w:val="18"/>
              </w:rPr>
              <w:t>75,3</w:t>
            </w:r>
          </w:p>
        </w:tc>
      </w:tr>
    </w:tbl>
    <w:p w:rsidR="00565EAC" w:rsidRDefault="00565EAC">
      <w:pPr>
        <w:spacing w:after="0"/>
      </w:pPr>
    </w:p>
    <w:p w:rsidR="00565EAC" w:rsidRDefault="001F4708">
      <w:r>
        <w:t>Iz Obrasca PR-RAS vidljivo je kako su prihodi poslovanja ostvareni 75,3 u odnosu na ostvareno u izvještajnom razdoblju prethodne godine. Razlog navedenom je manji iznos ostvarenih kapitalnih pomoći u prva tri mjeseca tekuće godine u odnosu na isto razdoblj</w:t>
      </w:r>
      <w:r>
        <w:t>e prethodne godine.</w:t>
      </w:r>
    </w:p>
    <w:p w:rsidR="00565EAC" w:rsidRDefault="00565EAC"/>
    <w:p w:rsidR="00565EAC" w:rsidRDefault="001F4708">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65EAC">
        <w:tblPrEx>
          <w:tblCellMar>
            <w:top w:w="0" w:type="dxa"/>
            <w:bottom w:w="0" w:type="dxa"/>
          </w:tblCellMar>
        </w:tblPrEx>
        <w:trPr>
          <w:cantSplit/>
        </w:trPr>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Indeks (%)</w:t>
            </w:r>
          </w:p>
        </w:tc>
      </w:tr>
      <w:tr w:rsidR="00565EAC">
        <w:tblPrEx>
          <w:tblCellMar>
            <w:top w:w="0" w:type="dxa"/>
            <w:bottom w:w="0" w:type="dxa"/>
          </w:tblCellMar>
        </w:tblPrEx>
        <w:trPr>
          <w:cantSplit/>
          <w:trHeight w:val="560"/>
        </w:trPr>
        <w:tc>
          <w:tcPr>
            <w:tcW w:w="700" w:type="dxa"/>
            <w:tcMar>
              <w:top w:w="0" w:type="dxa"/>
              <w:bottom w:w="0" w:type="dxa"/>
            </w:tcMar>
            <w:vAlign w:val="center"/>
          </w:tcPr>
          <w:p w:rsidR="00565EAC" w:rsidRDefault="001F4708">
            <w:pPr>
              <w:keepNext/>
              <w:keepLines/>
              <w:spacing w:after="0" w:line="240" w:lineRule="auto"/>
            </w:pPr>
            <w:r>
              <w:rPr>
                <w:sz w:val="18"/>
              </w:rPr>
              <w:t>61</w:t>
            </w:r>
          </w:p>
        </w:tc>
        <w:tc>
          <w:tcPr>
            <w:tcW w:w="3180" w:type="dxa"/>
            <w:tcMar>
              <w:top w:w="0" w:type="dxa"/>
              <w:bottom w:w="0" w:type="dxa"/>
            </w:tcMar>
            <w:vAlign w:val="center"/>
          </w:tcPr>
          <w:p w:rsidR="00565EAC" w:rsidRDefault="001F4708">
            <w:pPr>
              <w:keepNext/>
              <w:keepLines/>
              <w:spacing w:after="0" w:line="240" w:lineRule="auto"/>
            </w:pPr>
            <w:r>
              <w:rPr>
                <w:sz w:val="18"/>
              </w:rPr>
              <w:t>Prihodi od poreza (šifre 611+612+613+614+615+616)</w:t>
            </w:r>
          </w:p>
        </w:tc>
        <w:tc>
          <w:tcPr>
            <w:tcW w:w="700" w:type="dxa"/>
            <w:tcMar>
              <w:top w:w="0" w:type="dxa"/>
              <w:bottom w:w="0" w:type="dxa"/>
            </w:tcMar>
            <w:vAlign w:val="center"/>
          </w:tcPr>
          <w:p w:rsidR="00565EAC" w:rsidRDefault="001F4708">
            <w:pPr>
              <w:keepNext/>
              <w:keepLines/>
              <w:spacing w:after="0" w:line="240" w:lineRule="auto"/>
            </w:pPr>
            <w:r>
              <w:rPr>
                <w:sz w:val="18"/>
              </w:rPr>
              <w:t>61</w:t>
            </w:r>
          </w:p>
        </w:tc>
        <w:tc>
          <w:tcPr>
            <w:tcW w:w="1860" w:type="dxa"/>
            <w:tcMar>
              <w:top w:w="0" w:type="dxa"/>
              <w:bottom w:w="0" w:type="dxa"/>
            </w:tcMar>
            <w:vAlign w:val="center"/>
          </w:tcPr>
          <w:p w:rsidR="00565EAC" w:rsidRDefault="001F4708">
            <w:pPr>
              <w:keepNext/>
              <w:keepLines/>
              <w:spacing w:after="0" w:line="240" w:lineRule="auto"/>
              <w:jc w:val="right"/>
            </w:pPr>
            <w:r>
              <w:rPr>
                <w:sz w:val="18"/>
              </w:rPr>
              <w:t>209.034,91</w:t>
            </w:r>
          </w:p>
        </w:tc>
        <w:tc>
          <w:tcPr>
            <w:tcW w:w="1860" w:type="dxa"/>
            <w:tcMar>
              <w:top w:w="0" w:type="dxa"/>
              <w:bottom w:w="0" w:type="dxa"/>
            </w:tcMar>
            <w:vAlign w:val="center"/>
          </w:tcPr>
          <w:p w:rsidR="00565EAC" w:rsidRDefault="001F4708">
            <w:pPr>
              <w:keepNext/>
              <w:keepLines/>
              <w:spacing w:after="0" w:line="240" w:lineRule="auto"/>
              <w:jc w:val="right"/>
            </w:pPr>
            <w:r>
              <w:rPr>
                <w:sz w:val="18"/>
              </w:rPr>
              <w:t>248.727,92</w:t>
            </w:r>
          </w:p>
        </w:tc>
        <w:tc>
          <w:tcPr>
            <w:tcW w:w="700" w:type="dxa"/>
            <w:tcMar>
              <w:top w:w="0" w:type="dxa"/>
              <w:bottom w:w="0" w:type="dxa"/>
            </w:tcMar>
            <w:vAlign w:val="center"/>
          </w:tcPr>
          <w:p w:rsidR="00565EAC" w:rsidRDefault="001F4708">
            <w:pPr>
              <w:keepNext/>
              <w:keepLines/>
              <w:spacing w:after="0" w:line="240" w:lineRule="auto"/>
              <w:jc w:val="right"/>
            </w:pPr>
            <w:r>
              <w:rPr>
                <w:sz w:val="18"/>
              </w:rPr>
              <w:t>119,0</w:t>
            </w:r>
          </w:p>
        </w:tc>
      </w:tr>
    </w:tbl>
    <w:p w:rsidR="00565EAC" w:rsidRDefault="00565EAC">
      <w:pPr>
        <w:spacing w:after="0"/>
      </w:pPr>
    </w:p>
    <w:p w:rsidR="00565EAC" w:rsidRDefault="001F4708">
      <w:r>
        <w:t xml:space="preserve">Po odluci Vlade o fiskalnom izravnanju prema PR-RAS vidljivo je kako su prihodi od poreza sa indeksom ostvarenja 119 </w:t>
      </w:r>
      <w:proofErr w:type="spellStart"/>
      <w:r>
        <w:t>višlji</w:t>
      </w:r>
      <w:proofErr w:type="spellEnd"/>
      <w:r>
        <w:t xml:space="preserve"> u odnosu na ostvareno u izvještajnom razdoblju prethodne godine.</w:t>
      </w:r>
    </w:p>
    <w:p w:rsidR="00565EAC" w:rsidRDefault="00565EAC"/>
    <w:p w:rsidR="00565EAC" w:rsidRDefault="001F4708">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65EAC">
        <w:tblPrEx>
          <w:tblCellMar>
            <w:top w:w="0" w:type="dxa"/>
            <w:bottom w:w="0" w:type="dxa"/>
          </w:tblCellMar>
        </w:tblPrEx>
        <w:trPr>
          <w:cantSplit/>
        </w:trPr>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Indeks (%)</w:t>
            </w:r>
          </w:p>
        </w:tc>
      </w:tr>
      <w:tr w:rsidR="00565EAC">
        <w:tblPrEx>
          <w:tblCellMar>
            <w:top w:w="0" w:type="dxa"/>
            <w:bottom w:w="0" w:type="dxa"/>
          </w:tblCellMar>
        </w:tblPrEx>
        <w:trPr>
          <w:cantSplit/>
          <w:trHeight w:val="560"/>
        </w:trPr>
        <w:tc>
          <w:tcPr>
            <w:tcW w:w="700" w:type="dxa"/>
            <w:tcMar>
              <w:top w:w="0" w:type="dxa"/>
              <w:bottom w:w="0" w:type="dxa"/>
            </w:tcMar>
            <w:vAlign w:val="center"/>
          </w:tcPr>
          <w:p w:rsidR="00565EAC" w:rsidRDefault="001F4708">
            <w:pPr>
              <w:keepNext/>
              <w:keepLines/>
              <w:spacing w:after="0" w:line="240" w:lineRule="auto"/>
            </w:pPr>
            <w:r>
              <w:rPr>
                <w:sz w:val="18"/>
              </w:rPr>
              <w:t>611</w:t>
            </w:r>
          </w:p>
        </w:tc>
        <w:tc>
          <w:tcPr>
            <w:tcW w:w="3180" w:type="dxa"/>
            <w:tcMar>
              <w:top w:w="0" w:type="dxa"/>
              <w:bottom w:w="0" w:type="dxa"/>
            </w:tcMar>
            <w:vAlign w:val="center"/>
          </w:tcPr>
          <w:p w:rsidR="00565EAC" w:rsidRDefault="001F4708">
            <w:pPr>
              <w:keepNext/>
              <w:keepLines/>
              <w:spacing w:after="0" w:line="240" w:lineRule="auto"/>
            </w:pPr>
            <w:r>
              <w:rPr>
                <w:sz w:val="18"/>
              </w:rPr>
              <w:t>Porez na dohodak (šifre 6111 do 6116 - 6117 - 6119)</w:t>
            </w:r>
          </w:p>
        </w:tc>
        <w:tc>
          <w:tcPr>
            <w:tcW w:w="700" w:type="dxa"/>
            <w:tcMar>
              <w:top w:w="0" w:type="dxa"/>
              <w:bottom w:w="0" w:type="dxa"/>
            </w:tcMar>
            <w:vAlign w:val="center"/>
          </w:tcPr>
          <w:p w:rsidR="00565EAC" w:rsidRDefault="001F4708">
            <w:pPr>
              <w:keepNext/>
              <w:keepLines/>
              <w:spacing w:after="0" w:line="240" w:lineRule="auto"/>
            </w:pPr>
            <w:r>
              <w:rPr>
                <w:sz w:val="18"/>
              </w:rPr>
              <w:t>611</w:t>
            </w:r>
          </w:p>
        </w:tc>
        <w:tc>
          <w:tcPr>
            <w:tcW w:w="1860" w:type="dxa"/>
            <w:tcMar>
              <w:top w:w="0" w:type="dxa"/>
              <w:bottom w:w="0" w:type="dxa"/>
            </w:tcMar>
            <w:vAlign w:val="center"/>
          </w:tcPr>
          <w:p w:rsidR="00565EAC" w:rsidRDefault="001F4708">
            <w:pPr>
              <w:keepNext/>
              <w:keepLines/>
              <w:spacing w:after="0" w:line="240" w:lineRule="auto"/>
              <w:jc w:val="right"/>
            </w:pPr>
            <w:r>
              <w:rPr>
                <w:sz w:val="18"/>
              </w:rPr>
              <w:t>199.532,21</w:t>
            </w:r>
          </w:p>
        </w:tc>
        <w:tc>
          <w:tcPr>
            <w:tcW w:w="1860" w:type="dxa"/>
            <w:tcMar>
              <w:top w:w="0" w:type="dxa"/>
              <w:bottom w:w="0" w:type="dxa"/>
            </w:tcMar>
            <w:vAlign w:val="center"/>
          </w:tcPr>
          <w:p w:rsidR="00565EAC" w:rsidRDefault="001F4708">
            <w:pPr>
              <w:keepNext/>
              <w:keepLines/>
              <w:spacing w:after="0" w:line="240" w:lineRule="auto"/>
              <w:jc w:val="right"/>
            </w:pPr>
            <w:r>
              <w:rPr>
                <w:sz w:val="18"/>
              </w:rPr>
              <w:t>239.097,06</w:t>
            </w:r>
          </w:p>
        </w:tc>
        <w:tc>
          <w:tcPr>
            <w:tcW w:w="700" w:type="dxa"/>
            <w:tcMar>
              <w:top w:w="0" w:type="dxa"/>
              <w:bottom w:w="0" w:type="dxa"/>
            </w:tcMar>
            <w:vAlign w:val="center"/>
          </w:tcPr>
          <w:p w:rsidR="00565EAC" w:rsidRDefault="001F4708">
            <w:pPr>
              <w:keepNext/>
              <w:keepLines/>
              <w:spacing w:after="0" w:line="240" w:lineRule="auto"/>
              <w:jc w:val="right"/>
            </w:pPr>
            <w:r>
              <w:rPr>
                <w:sz w:val="18"/>
              </w:rPr>
              <w:t>119,8</w:t>
            </w:r>
          </w:p>
        </w:tc>
      </w:tr>
    </w:tbl>
    <w:p w:rsidR="00565EAC" w:rsidRDefault="00565EAC">
      <w:pPr>
        <w:spacing w:after="0"/>
      </w:pPr>
    </w:p>
    <w:p w:rsidR="00565EAC" w:rsidRDefault="001F4708">
      <w:r>
        <w:t>Porez i prirez na dohodak je u odnosu na razdoblje prethodne godine sa indeksom ostvarenja od 119,8 viši, jer je uplaćeno više poreza i prireza na dohodak, a kao rezultat više uplate poreza i prihoda na dohodak je povećanje i rast plaća na nivou države.</w:t>
      </w:r>
    </w:p>
    <w:p w:rsidR="00565EAC" w:rsidRDefault="00565EAC"/>
    <w:p w:rsidR="00565EAC" w:rsidRDefault="001F4708">
      <w:pPr>
        <w:keepNext/>
        <w:spacing w:line="240" w:lineRule="auto"/>
        <w:jc w:val="center"/>
      </w:pPr>
      <w:r>
        <w:rPr>
          <w:sz w:val="28"/>
        </w:rPr>
        <w:lastRenderedPageBreak/>
        <w:t>B</w:t>
      </w:r>
      <w:r>
        <w:rPr>
          <w:sz w:val="28"/>
        </w:rPr>
        <w:t>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65EAC">
        <w:tblPrEx>
          <w:tblCellMar>
            <w:top w:w="0" w:type="dxa"/>
            <w:bottom w:w="0" w:type="dxa"/>
          </w:tblCellMar>
        </w:tblPrEx>
        <w:trPr>
          <w:cantSplit/>
        </w:trPr>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Indeks (%)</w:t>
            </w:r>
          </w:p>
        </w:tc>
      </w:tr>
      <w:tr w:rsidR="00565EAC">
        <w:tblPrEx>
          <w:tblCellMar>
            <w:top w:w="0" w:type="dxa"/>
            <w:bottom w:w="0" w:type="dxa"/>
          </w:tblCellMar>
        </w:tblPrEx>
        <w:trPr>
          <w:cantSplit/>
          <w:trHeight w:val="560"/>
        </w:trPr>
        <w:tc>
          <w:tcPr>
            <w:tcW w:w="700" w:type="dxa"/>
            <w:tcMar>
              <w:top w:w="0" w:type="dxa"/>
              <w:bottom w:w="0" w:type="dxa"/>
            </w:tcMar>
            <w:vAlign w:val="center"/>
          </w:tcPr>
          <w:p w:rsidR="00565EAC" w:rsidRDefault="001F4708">
            <w:pPr>
              <w:keepNext/>
              <w:keepLines/>
              <w:spacing w:after="0" w:line="240" w:lineRule="auto"/>
            </w:pPr>
            <w:r>
              <w:rPr>
                <w:sz w:val="18"/>
              </w:rPr>
              <w:t>613</w:t>
            </w:r>
          </w:p>
        </w:tc>
        <w:tc>
          <w:tcPr>
            <w:tcW w:w="3180" w:type="dxa"/>
            <w:tcMar>
              <w:top w:w="0" w:type="dxa"/>
              <w:bottom w:w="0" w:type="dxa"/>
            </w:tcMar>
            <w:vAlign w:val="center"/>
          </w:tcPr>
          <w:p w:rsidR="00565EAC" w:rsidRDefault="001F4708">
            <w:pPr>
              <w:keepNext/>
              <w:keepLines/>
              <w:spacing w:after="0" w:line="240" w:lineRule="auto"/>
            </w:pPr>
            <w:r>
              <w:rPr>
                <w:sz w:val="18"/>
              </w:rPr>
              <w:t>Porezi na imovinu (šifre 6131 do 6135)</w:t>
            </w:r>
          </w:p>
        </w:tc>
        <w:tc>
          <w:tcPr>
            <w:tcW w:w="700" w:type="dxa"/>
            <w:tcMar>
              <w:top w:w="0" w:type="dxa"/>
              <w:bottom w:w="0" w:type="dxa"/>
            </w:tcMar>
            <w:vAlign w:val="center"/>
          </w:tcPr>
          <w:p w:rsidR="00565EAC" w:rsidRDefault="001F4708">
            <w:pPr>
              <w:keepNext/>
              <w:keepLines/>
              <w:spacing w:after="0" w:line="240" w:lineRule="auto"/>
            </w:pPr>
            <w:r>
              <w:rPr>
                <w:sz w:val="18"/>
              </w:rPr>
              <w:t>613</w:t>
            </w:r>
          </w:p>
        </w:tc>
        <w:tc>
          <w:tcPr>
            <w:tcW w:w="1860" w:type="dxa"/>
            <w:tcMar>
              <w:top w:w="0" w:type="dxa"/>
              <w:bottom w:w="0" w:type="dxa"/>
            </w:tcMar>
            <w:vAlign w:val="center"/>
          </w:tcPr>
          <w:p w:rsidR="00565EAC" w:rsidRDefault="001F4708">
            <w:pPr>
              <w:keepNext/>
              <w:keepLines/>
              <w:spacing w:after="0" w:line="240" w:lineRule="auto"/>
              <w:jc w:val="right"/>
            </w:pPr>
            <w:r>
              <w:rPr>
                <w:sz w:val="18"/>
              </w:rPr>
              <w:t>8.951,13</w:t>
            </w:r>
          </w:p>
        </w:tc>
        <w:tc>
          <w:tcPr>
            <w:tcW w:w="1860" w:type="dxa"/>
            <w:tcMar>
              <w:top w:w="0" w:type="dxa"/>
              <w:bottom w:w="0" w:type="dxa"/>
            </w:tcMar>
            <w:vAlign w:val="center"/>
          </w:tcPr>
          <w:p w:rsidR="00565EAC" w:rsidRDefault="001F4708">
            <w:pPr>
              <w:keepNext/>
              <w:keepLines/>
              <w:spacing w:after="0" w:line="240" w:lineRule="auto"/>
              <w:jc w:val="right"/>
            </w:pPr>
            <w:r>
              <w:rPr>
                <w:sz w:val="18"/>
              </w:rPr>
              <w:t>8.664,66</w:t>
            </w:r>
          </w:p>
        </w:tc>
        <w:tc>
          <w:tcPr>
            <w:tcW w:w="700" w:type="dxa"/>
            <w:tcMar>
              <w:top w:w="0" w:type="dxa"/>
              <w:bottom w:w="0" w:type="dxa"/>
            </w:tcMar>
            <w:vAlign w:val="center"/>
          </w:tcPr>
          <w:p w:rsidR="00565EAC" w:rsidRDefault="001F4708">
            <w:pPr>
              <w:keepNext/>
              <w:keepLines/>
              <w:spacing w:after="0" w:line="240" w:lineRule="auto"/>
              <w:jc w:val="right"/>
            </w:pPr>
            <w:r>
              <w:rPr>
                <w:sz w:val="18"/>
              </w:rPr>
              <w:t>96,8</w:t>
            </w:r>
          </w:p>
        </w:tc>
      </w:tr>
    </w:tbl>
    <w:p w:rsidR="00565EAC" w:rsidRDefault="00565EAC">
      <w:pPr>
        <w:spacing w:after="0"/>
      </w:pPr>
    </w:p>
    <w:p w:rsidR="00565EAC" w:rsidRDefault="001F4708">
      <w:r>
        <w:t>Šifra 613 Porez na imovinu je u odnosu na izvještajno razdoblje prethodne godine ostvaren 96,8 jer unutar tog Poreza je uplaćen više povremenog poreza na imovinu koji se odnosi na porez na promet nekretninama na šifri 6134 i to s indeksom 96,8</w:t>
      </w:r>
    </w:p>
    <w:p w:rsidR="00565EAC" w:rsidRDefault="00565EAC"/>
    <w:p w:rsidR="00565EAC" w:rsidRDefault="001F4708">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65EAC">
        <w:tblPrEx>
          <w:tblCellMar>
            <w:top w:w="0" w:type="dxa"/>
            <w:bottom w:w="0" w:type="dxa"/>
          </w:tblCellMar>
        </w:tblPrEx>
        <w:trPr>
          <w:cantSplit/>
        </w:trPr>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Indeks (%)</w:t>
            </w:r>
          </w:p>
        </w:tc>
      </w:tr>
      <w:tr w:rsidR="00565EAC">
        <w:tblPrEx>
          <w:tblCellMar>
            <w:top w:w="0" w:type="dxa"/>
            <w:bottom w:w="0" w:type="dxa"/>
          </w:tblCellMar>
        </w:tblPrEx>
        <w:trPr>
          <w:cantSplit/>
          <w:trHeight w:val="560"/>
        </w:trPr>
        <w:tc>
          <w:tcPr>
            <w:tcW w:w="700" w:type="dxa"/>
            <w:tcMar>
              <w:top w:w="0" w:type="dxa"/>
              <w:bottom w:w="0" w:type="dxa"/>
            </w:tcMar>
            <w:vAlign w:val="center"/>
          </w:tcPr>
          <w:p w:rsidR="00565EAC" w:rsidRDefault="001F4708">
            <w:pPr>
              <w:keepNext/>
              <w:keepLines/>
              <w:spacing w:after="0" w:line="240" w:lineRule="auto"/>
            </w:pPr>
            <w:r>
              <w:rPr>
                <w:sz w:val="18"/>
              </w:rPr>
              <w:t>6131</w:t>
            </w:r>
          </w:p>
        </w:tc>
        <w:tc>
          <w:tcPr>
            <w:tcW w:w="3180" w:type="dxa"/>
            <w:tcMar>
              <w:top w:w="0" w:type="dxa"/>
              <w:bottom w:w="0" w:type="dxa"/>
            </w:tcMar>
            <w:vAlign w:val="center"/>
          </w:tcPr>
          <w:p w:rsidR="00565EAC" w:rsidRDefault="001F4708">
            <w:pPr>
              <w:keepNext/>
              <w:keepLines/>
              <w:spacing w:after="0" w:line="240" w:lineRule="auto"/>
            </w:pPr>
            <w:r>
              <w:rPr>
                <w:sz w:val="18"/>
              </w:rPr>
              <w:t>Stalni porezi na nepokretnu imovinu (zemlju, zgrade, kuće i ostalo)</w:t>
            </w:r>
          </w:p>
        </w:tc>
        <w:tc>
          <w:tcPr>
            <w:tcW w:w="700" w:type="dxa"/>
            <w:tcMar>
              <w:top w:w="0" w:type="dxa"/>
              <w:bottom w:w="0" w:type="dxa"/>
            </w:tcMar>
            <w:vAlign w:val="center"/>
          </w:tcPr>
          <w:p w:rsidR="00565EAC" w:rsidRDefault="001F4708">
            <w:pPr>
              <w:keepNext/>
              <w:keepLines/>
              <w:spacing w:after="0" w:line="240" w:lineRule="auto"/>
            </w:pPr>
            <w:r>
              <w:rPr>
                <w:sz w:val="18"/>
              </w:rPr>
              <w:t>6131</w:t>
            </w:r>
          </w:p>
        </w:tc>
        <w:tc>
          <w:tcPr>
            <w:tcW w:w="1860" w:type="dxa"/>
            <w:tcMar>
              <w:top w:w="0" w:type="dxa"/>
              <w:bottom w:w="0" w:type="dxa"/>
            </w:tcMar>
            <w:vAlign w:val="center"/>
          </w:tcPr>
          <w:p w:rsidR="00565EAC" w:rsidRDefault="001F4708">
            <w:pPr>
              <w:keepNext/>
              <w:keepLines/>
              <w:spacing w:after="0" w:line="240" w:lineRule="auto"/>
              <w:jc w:val="right"/>
            </w:pPr>
            <w:r>
              <w:rPr>
                <w:sz w:val="18"/>
              </w:rPr>
              <w:t>48,09</w:t>
            </w:r>
          </w:p>
        </w:tc>
        <w:tc>
          <w:tcPr>
            <w:tcW w:w="1860" w:type="dxa"/>
            <w:tcMar>
              <w:top w:w="0" w:type="dxa"/>
              <w:bottom w:w="0" w:type="dxa"/>
            </w:tcMar>
            <w:vAlign w:val="center"/>
          </w:tcPr>
          <w:p w:rsidR="00565EAC" w:rsidRDefault="001F4708">
            <w:pPr>
              <w:keepNext/>
              <w:keepLines/>
              <w:spacing w:after="0" w:line="240" w:lineRule="auto"/>
              <w:jc w:val="right"/>
            </w:pPr>
            <w:r>
              <w:rPr>
                <w:sz w:val="18"/>
              </w:rPr>
              <w:t>222,33</w:t>
            </w:r>
          </w:p>
        </w:tc>
        <w:tc>
          <w:tcPr>
            <w:tcW w:w="700" w:type="dxa"/>
            <w:tcMar>
              <w:top w:w="0" w:type="dxa"/>
              <w:bottom w:w="0" w:type="dxa"/>
            </w:tcMar>
            <w:vAlign w:val="center"/>
          </w:tcPr>
          <w:p w:rsidR="00565EAC" w:rsidRDefault="001F4708">
            <w:pPr>
              <w:keepNext/>
              <w:keepLines/>
              <w:spacing w:after="0" w:line="240" w:lineRule="auto"/>
              <w:jc w:val="right"/>
            </w:pPr>
            <w:r>
              <w:rPr>
                <w:sz w:val="18"/>
              </w:rPr>
              <w:t>462,3</w:t>
            </w:r>
          </w:p>
        </w:tc>
      </w:tr>
    </w:tbl>
    <w:p w:rsidR="00565EAC" w:rsidRDefault="00565EAC">
      <w:pPr>
        <w:spacing w:after="0"/>
      </w:pPr>
    </w:p>
    <w:p w:rsidR="00565EAC" w:rsidRDefault="001F4708">
      <w:r>
        <w:t xml:space="preserve">Stalni porezi na nepokretnu imovinu imaju indeks ostvarenja 462,3 i odnosi se na Porez na nekretnine koji je uveden 2025. godine za sve koji posjeduju 2 nekretninu, a kako su Rješenje krenula od rujna tako je i očekivano da se uplate izvršavaju u prva tri </w:t>
      </w:r>
      <w:r>
        <w:t>mjeseca.</w:t>
      </w:r>
    </w:p>
    <w:p w:rsidR="00565EAC" w:rsidRDefault="00565EAC"/>
    <w:p w:rsidR="00565EAC" w:rsidRDefault="001F4708">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65EAC">
        <w:tblPrEx>
          <w:tblCellMar>
            <w:top w:w="0" w:type="dxa"/>
            <w:bottom w:w="0" w:type="dxa"/>
          </w:tblCellMar>
        </w:tblPrEx>
        <w:trPr>
          <w:cantSplit/>
        </w:trPr>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Indeks (%)</w:t>
            </w:r>
          </w:p>
        </w:tc>
      </w:tr>
      <w:tr w:rsidR="00565EAC">
        <w:tblPrEx>
          <w:tblCellMar>
            <w:top w:w="0" w:type="dxa"/>
            <w:bottom w:w="0" w:type="dxa"/>
          </w:tblCellMar>
        </w:tblPrEx>
        <w:trPr>
          <w:cantSplit/>
          <w:trHeight w:val="560"/>
        </w:trPr>
        <w:tc>
          <w:tcPr>
            <w:tcW w:w="700" w:type="dxa"/>
            <w:tcMar>
              <w:top w:w="0" w:type="dxa"/>
              <w:bottom w:w="0" w:type="dxa"/>
            </w:tcMar>
            <w:vAlign w:val="center"/>
          </w:tcPr>
          <w:p w:rsidR="00565EAC" w:rsidRDefault="001F4708">
            <w:pPr>
              <w:keepNext/>
              <w:keepLines/>
              <w:spacing w:after="0" w:line="240" w:lineRule="auto"/>
            </w:pPr>
            <w:r>
              <w:rPr>
                <w:sz w:val="18"/>
              </w:rPr>
              <w:t>63</w:t>
            </w:r>
          </w:p>
        </w:tc>
        <w:tc>
          <w:tcPr>
            <w:tcW w:w="3180" w:type="dxa"/>
            <w:tcMar>
              <w:top w:w="0" w:type="dxa"/>
              <w:bottom w:w="0" w:type="dxa"/>
            </w:tcMar>
            <w:vAlign w:val="center"/>
          </w:tcPr>
          <w:p w:rsidR="00565EAC" w:rsidRDefault="001F4708">
            <w:pPr>
              <w:keepNext/>
              <w:keepLines/>
              <w:spacing w:after="0" w:line="240" w:lineRule="auto"/>
            </w:pPr>
            <w:r>
              <w:rPr>
                <w:sz w:val="18"/>
              </w:rPr>
              <w:t xml:space="preserve">Pomoći iz inozemstva i od subjekata unutar općeg proračuna (šifre </w:t>
            </w:r>
            <w:r>
              <w:rPr>
                <w:sz w:val="18"/>
              </w:rPr>
              <w:t>631+632+633+634+635+636+637+638+639)</w:t>
            </w:r>
          </w:p>
        </w:tc>
        <w:tc>
          <w:tcPr>
            <w:tcW w:w="700" w:type="dxa"/>
            <w:tcMar>
              <w:top w:w="0" w:type="dxa"/>
              <w:bottom w:w="0" w:type="dxa"/>
            </w:tcMar>
            <w:vAlign w:val="center"/>
          </w:tcPr>
          <w:p w:rsidR="00565EAC" w:rsidRDefault="001F4708">
            <w:pPr>
              <w:keepNext/>
              <w:keepLines/>
              <w:spacing w:after="0" w:line="240" w:lineRule="auto"/>
            </w:pPr>
            <w:r>
              <w:rPr>
                <w:sz w:val="18"/>
              </w:rPr>
              <w:t>63</w:t>
            </w:r>
          </w:p>
        </w:tc>
        <w:tc>
          <w:tcPr>
            <w:tcW w:w="1860" w:type="dxa"/>
            <w:tcMar>
              <w:top w:w="0" w:type="dxa"/>
              <w:bottom w:w="0" w:type="dxa"/>
            </w:tcMar>
            <w:vAlign w:val="center"/>
          </w:tcPr>
          <w:p w:rsidR="00565EAC" w:rsidRDefault="001F4708">
            <w:pPr>
              <w:keepNext/>
              <w:keepLines/>
              <w:spacing w:after="0" w:line="240" w:lineRule="auto"/>
              <w:jc w:val="right"/>
            </w:pPr>
            <w:r>
              <w:rPr>
                <w:sz w:val="18"/>
              </w:rPr>
              <w:t>467.850,41</w:t>
            </w:r>
          </w:p>
        </w:tc>
        <w:tc>
          <w:tcPr>
            <w:tcW w:w="1860" w:type="dxa"/>
            <w:tcMar>
              <w:top w:w="0" w:type="dxa"/>
              <w:bottom w:w="0" w:type="dxa"/>
            </w:tcMar>
            <w:vAlign w:val="center"/>
          </w:tcPr>
          <w:p w:rsidR="00565EAC" w:rsidRDefault="001F4708">
            <w:pPr>
              <w:keepNext/>
              <w:keepLines/>
              <w:spacing w:after="0" w:line="240" w:lineRule="auto"/>
              <w:jc w:val="right"/>
            </w:pPr>
            <w:r>
              <w:rPr>
                <w:sz w:val="18"/>
              </w:rPr>
              <w:t>252.947,48</w:t>
            </w:r>
          </w:p>
        </w:tc>
        <w:tc>
          <w:tcPr>
            <w:tcW w:w="700" w:type="dxa"/>
            <w:tcMar>
              <w:top w:w="0" w:type="dxa"/>
              <w:bottom w:w="0" w:type="dxa"/>
            </w:tcMar>
            <w:vAlign w:val="center"/>
          </w:tcPr>
          <w:p w:rsidR="00565EAC" w:rsidRDefault="001F4708">
            <w:pPr>
              <w:keepNext/>
              <w:keepLines/>
              <w:spacing w:after="0" w:line="240" w:lineRule="auto"/>
              <w:jc w:val="right"/>
            </w:pPr>
            <w:r>
              <w:rPr>
                <w:sz w:val="18"/>
              </w:rPr>
              <w:t>54,1</w:t>
            </w:r>
          </w:p>
        </w:tc>
      </w:tr>
    </w:tbl>
    <w:p w:rsidR="00565EAC" w:rsidRDefault="00565EAC">
      <w:pPr>
        <w:spacing w:after="0"/>
      </w:pPr>
    </w:p>
    <w:p w:rsidR="00565EAC" w:rsidRDefault="001F4708">
      <w:r>
        <w:t>Pomoći iz inozemstva i od subjekata unutar općeg proračuna na šifri 63 ostvareno je u  znatno manjem prihodu s indeksom ostvarenja 54,1, jer ja na šifri 6382 Kapitalne pomoći temeljem prijenosa EU sredstava za kapitalni projekt Izgradnja biciklističko-pješ</w:t>
      </w:r>
      <w:r>
        <w:t xml:space="preserve">ačke staze u </w:t>
      </w:r>
      <w:proofErr w:type="spellStart"/>
      <w:r>
        <w:t>Sigecu</w:t>
      </w:r>
      <w:proofErr w:type="spellEnd"/>
      <w:r>
        <w:t xml:space="preserve"> u ul. I. </w:t>
      </w:r>
      <w:proofErr w:type="spellStart"/>
      <w:r>
        <w:t>Berute</w:t>
      </w:r>
      <w:proofErr w:type="spellEnd"/>
      <w:r>
        <w:t xml:space="preserve"> i B. Radić, a odnosi na završni ZNS. Također na šifri 6331 odnosi se na fiskalno izravnanje za dječje vrtiće. Ostale kapitalne pomoći se očekuju tijekom tekuće proračunske godine.</w:t>
      </w:r>
    </w:p>
    <w:p w:rsidR="00565EAC" w:rsidRDefault="00565EAC"/>
    <w:p w:rsidR="00565EAC" w:rsidRDefault="001F4708">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65EAC">
        <w:tblPrEx>
          <w:tblCellMar>
            <w:top w:w="0" w:type="dxa"/>
            <w:bottom w:w="0" w:type="dxa"/>
          </w:tblCellMar>
        </w:tblPrEx>
        <w:trPr>
          <w:cantSplit/>
        </w:trPr>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Opis st</w:t>
            </w:r>
            <w:r>
              <w:rPr>
                <w:b/>
                <w:sz w:val="18"/>
              </w:rPr>
              <w:t>avke</w:t>
            </w:r>
          </w:p>
        </w:tc>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Indeks (%)</w:t>
            </w:r>
          </w:p>
        </w:tc>
      </w:tr>
      <w:tr w:rsidR="00565EAC">
        <w:tblPrEx>
          <w:tblCellMar>
            <w:top w:w="0" w:type="dxa"/>
            <w:bottom w:w="0" w:type="dxa"/>
          </w:tblCellMar>
        </w:tblPrEx>
        <w:trPr>
          <w:cantSplit/>
          <w:trHeight w:val="560"/>
        </w:trPr>
        <w:tc>
          <w:tcPr>
            <w:tcW w:w="700" w:type="dxa"/>
            <w:tcMar>
              <w:top w:w="0" w:type="dxa"/>
              <w:bottom w:w="0" w:type="dxa"/>
            </w:tcMar>
            <w:vAlign w:val="center"/>
          </w:tcPr>
          <w:p w:rsidR="00565EAC" w:rsidRDefault="001F4708">
            <w:pPr>
              <w:keepNext/>
              <w:keepLines/>
              <w:spacing w:after="0" w:line="240" w:lineRule="auto"/>
            </w:pPr>
            <w:r>
              <w:rPr>
                <w:sz w:val="18"/>
              </w:rPr>
              <w:t>633</w:t>
            </w:r>
          </w:p>
        </w:tc>
        <w:tc>
          <w:tcPr>
            <w:tcW w:w="3180" w:type="dxa"/>
            <w:tcMar>
              <w:top w:w="0" w:type="dxa"/>
              <w:bottom w:w="0" w:type="dxa"/>
            </w:tcMar>
            <w:vAlign w:val="center"/>
          </w:tcPr>
          <w:p w:rsidR="00565EAC" w:rsidRDefault="001F4708">
            <w:pPr>
              <w:keepNext/>
              <w:keepLines/>
              <w:spacing w:after="0" w:line="240" w:lineRule="auto"/>
            </w:pPr>
            <w:r>
              <w:rPr>
                <w:sz w:val="18"/>
              </w:rPr>
              <w:t>Pomoći proračunu i izvanproračunskim korisnicima iz drugih proračuna (šifre 6331+6332)</w:t>
            </w:r>
          </w:p>
        </w:tc>
        <w:tc>
          <w:tcPr>
            <w:tcW w:w="700" w:type="dxa"/>
            <w:tcMar>
              <w:top w:w="0" w:type="dxa"/>
              <w:bottom w:w="0" w:type="dxa"/>
            </w:tcMar>
            <w:vAlign w:val="center"/>
          </w:tcPr>
          <w:p w:rsidR="00565EAC" w:rsidRDefault="001F4708">
            <w:pPr>
              <w:keepNext/>
              <w:keepLines/>
              <w:spacing w:after="0" w:line="240" w:lineRule="auto"/>
            </w:pPr>
            <w:r>
              <w:rPr>
                <w:sz w:val="18"/>
              </w:rPr>
              <w:t>633</w:t>
            </w:r>
          </w:p>
        </w:tc>
        <w:tc>
          <w:tcPr>
            <w:tcW w:w="1860" w:type="dxa"/>
            <w:tcMar>
              <w:top w:w="0" w:type="dxa"/>
              <w:bottom w:w="0" w:type="dxa"/>
            </w:tcMar>
            <w:vAlign w:val="center"/>
          </w:tcPr>
          <w:p w:rsidR="00565EAC" w:rsidRDefault="001F4708">
            <w:pPr>
              <w:keepNext/>
              <w:keepLines/>
              <w:spacing w:after="0" w:line="240" w:lineRule="auto"/>
              <w:jc w:val="right"/>
            </w:pPr>
            <w:r>
              <w:rPr>
                <w:sz w:val="18"/>
              </w:rPr>
              <w:t>287.850,41</w:t>
            </w:r>
          </w:p>
        </w:tc>
        <w:tc>
          <w:tcPr>
            <w:tcW w:w="1860" w:type="dxa"/>
            <w:tcMar>
              <w:top w:w="0" w:type="dxa"/>
              <w:bottom w:w="0" w:type="dxa"/>
            </w:tcMar>
            <w:vAlign w:val="center"/>
          </w:tcPr>
          <w:p w:rsidR="00565EAC" w:rsidRDefault="001F4708">
            <w:pPr>
              <w:keepNext/>
              <w:keepLines/>
              <w:spacing w:after="0" w:line="240" w:lineRule="auto"/>
              <w:jc w:val="right"/>
            </w:pPr>
            <w:r>
              <w:rPr>
                <w:sz w:val="18"/>
              </w:rPr>
              <w:t>160.175,31</w:t>
            </w:r>
          </w:p>
        </w:tc>
        <w:tc>
          <w:tcPr>
            <w:tcW w:w="700" w:type="dxa"/>
            <w:tcMar>
              <w:top w:w="0" w:type="dxa"/>
              <w:bottom w:w="0" w:type="dxa"/>
            </w:tcMar>
            <w:vAlign w:val="center"/>
          </w:tcPr>
          <w:p w:rsidR="00565EAC" w:rsidRDefault="001F4708">
            <w:pPr>
              <w:keepNext/>
              <w:keepLines/>
              <w:spacing w:after="0" w:line="240" w:lineRule="auto"/>
              <w:jc w:val="right"/>
            </w:pPr>
            <w:r>
              <w:rPr>
                <w:sz w:val="18"/>
              </w:rPr>
              <w:t>55,6</w:t>
            </w:r>
          </w:p>
        </w:tc>
      </w:tr>
    </w:tbl>
    <w:p w:rsidR="00565EAC" w:rsidRDefault="00565EAC">
      <w:pPr>
        <w:spacing w:after="0"/>
      </w:pPr>
    </w:p>
    <w:p w:rsidR="00565EAC" w:rsidRDefault="001F4708">
      <w:r>
        <w:lastRenderedPageBreak/>
        <w:t>Pomoći proračunu i izvanproračunskim korisnicima iz drugih proračuna odnosi se na šifru 6331 fiskalno izravnanje. Smanjenje prihoda s indeksom ostvarenja je 55,6.</w:t>
      </w:r>
    </w:p>
    <w:p w:rsidR="00565EAC" w:rsidRDefault="00565EAC"/>
    <w:p w:rsidR="00565EAC" w:rsidRDefault="001F4708">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65EAC">
        <w:tblPrEx>
          <w:tblCellMar>
            <w:top w:w="0" w:type="dxa"/>
            <w:bottom w:w="0" w:type="dxa"/>
          </w:tblCellMar>
        </w:tblPrEx>
        <w:trPr>
          <w:cantSplit/>
        </w:trPr>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 xml:space="preserve">Ostvareno u izvještajnom razdoblju </w:t>
            </w:r>
            <w:r>
              <w:rPr>
                <w:b/>
                <w:sz w:val="18"/>
              </w:rPr>
              <w:t>prethodne godine</w:t>
            </w:r>
          </w:p>
        </w:tc>
        <w:tc>
          <w:tcPr>
            <w:tcW w:w="186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Indeks (%)</w:t>
            </w:r>
          </w:p>
        </w:tc>
      </w:tr>
      <w:tr w:rsidR="00565EAC">
        <w:tblPrEx>
          <w:tblCellMar>
            <w:top w:w="0" w:type="dxa"/>
            <w:bottom w:w="0" w:type="dxa"/>
          </w:tblCellMar>
        </w:tblPrEx>
        <w:trPr>
          <w:cantSplit/>
          <w:trHeight w:val="560"/>
        </w:trPr>
        <w:tc>
          <w:tcPr>
            <w:tcW w:w="700" w:type="dxa"/>
            <w:tcMar>
              <w:top w:w="0" w:type="dxa"/>
              <w:bottom w:w="0" w:type="dxa"/>
            </w:tcMar>
            <w:vAlign w:val="center"/>
          </w:tcPr>
          <w:p w:rsidR="00565EAC" w:rsidRDefault="001F4708">
            <w:pPr>
              <w:keepNext/>
              <w:keepLines/>
              <w:spacing w:after="0" w:line="240" w:lineRule="auto"/>
            </w:pPr>
            <w:r>
              <w:rPr>
                <w:sz w:val="18"/>
              </w:rPr>
              <w:t>64</w:t>
            </w:r>
          </w:p>
        </w:tc>
        <w:tc>
          <w:tcPr>
            <w:tcW w:w="3180" w:type="dxa"/>
            <w:tcMar>
              <w:top w:w="0" w:type="dxa"/>
              <w:bottom w:w="0" w:type="dxa"/>
            </w:tcMar>
            <w:vAlign w:val="center"/>
          </w:tcPr>
          <w:p w:rsidR="00565EAC" w:rsidRDefault="001F4708">
            <w:pPr>
              <w:keepNext/>
              <w:keepLines/>
              <w:spacing w:after="0" w:line="240" w:lineRule="auto"/>
            </w:pPr>
            <w:r>
              <w:rPr>
                <w:sz w:val="18"/>
              </w:rPr>
              <w:t>Prihodi od imovine (šifre 641+642+643)</w:t>
            </w:r>
          </w:p>
        </w:tc>
        <w:tc>
          <w:tcPr>
            <w:tcW w:w="700" w:type="dxa"/>
            <w:tcMar>
              <w:top w:w="0" w:type="dxa"/>
              <w:bottom w:w="0" w:type="dxa"/>
            </w:tcMar>
            <w:vAlign w:val="center"/>
          </w:tcPr>
          <w:p w:rsidR="00565EAC" w:rsidRDefault="001F4708">
            <w:pPr>
              <w:keepNext/>
              <w:keepLines/>
              <w:spacing w:after="0" w:line="240" w:lineRule="auto"/>
            </w:pPr>
            <w:r>
              <w:rPr>
                <w:sz w:val="18"/>
              </w:rPr>
              <w:t>64</w:t>
            </w:r>
          </w:p>
        </w:tc>
        <w:tc>
          <w:tcPr>
            <w:tcW w:w="1860" w:type="dxa"/>
            <w:tcMar>
              <w:top w:w="0" w:type="dxa"/>
              <w:bottom w:w="0" w:type="dxa"/>
            </w:tcMar>
            <w:vAlign w:val="center"/>
          </w:tcPr>
          <w:p w:rsidR="00565EAC" w:rsidRDefault="001F4708">
            <w:pPr>
              <w:keepNext/>
              <w:keepLines/>
              <w:spacing w:after="0" w:line="240" w:lineRule="auto"/>
              <w:jc w:val="right"/>
            </w:pPr>
            <w:r>
              <w:rPr>
                <w:sz w:val="18"/>
              </w:rPr>
              <w:t>55.359,90</w:t>
            </w:r>
          </w:p>
        </w:tc>
        <w:tc>
          <w:tcPr>
            <w:tcW w:w="1860" w:type="dxa"/>
            <w:tcMar>
              <w:top w:w="0" w:type="dxa"/>
              <w:bottom w:w="0" w:type="dxa"/>
            </w:tcMar>
            <w:vAlign w:val="center"/>
          </w:tcPr>
          <w:p w:rsidR="00565EAC" w:rsidRDefault="001F4708">
            <w:pPr>
              <w:keepNext/>
              <w:keepLines/>
              <w:spacing w:after="0" w:line="240" w:lineRule="auto"/>
              <w:jc w:val="right"/>
            </w:pPr>
            <w:r>
              <w:rPr>
                <w:sz w:val="18"/>
              </w:rPr>
              <w:t>45.857,25</w:t>
            </w:r>
          </w:p>
        </w:tc>
        <w:tc>
          <w:tcPr>
            <w:tcW w:w="700" w:type="dxa"/>
            <w:tcMar>
              <w:top w:w="0" w:type="dxa"/>
              <w:bottom w:w="0" w:type="dxa"/>
            </w:tcMar>
            <w:vAlign w:val="center"/>
          </w:tcPr>
          <w:p w:rsidR="00565EAC" w:rsidRDefault="001F4708">
            <w:pPr>
              <w:keepNext/>
              <w:keepLines/>
              <w:spacing w:after="0" w:line="240" w:lineRule="auto"/>
              <w:jc w:val="right"/>
            </w:pPr>
            <w:r>
              <w:rPr>
                <w:sz w:val="18"/>
              </w:rPr>
              <w:t>82,8</w:t>
            </w:r>
          </w:p>
        </w:tc>
      </w:tr>
    </w:tbl>
    <w:p w:rsidR="00565EAC" w:rsidRDefault="00565EAC">
      <w:pPr>
        <w:spacing w:after="0"/>
      </w:pPr>
    </w:p>
    <w:p w:rsidR="00565EAC" w:rsidRDefault="001F4708">
      <w:r>
        <w:t>U 2025. godini ostvareni su manji Prihodi od nefinancijske imovne šifra 642 sa indeksom ostvarenja 82,8. Na šifri 6421 Naknade za koncesije indeks ostvarenja je u odnosu na prošlu godinu 81,2 jer se vrši obračun naknada za otkopanu količinu mineralnih siro</w:t>
      </w:r>
      <w:r>
        <w:t>vina po novom Zakonu, a na šifri 6422 Prihod od zakupa i iznajmljivanja imovine ostvaren je s indeksom 82,8 a odnosi se na Prihod od zakupa poljoprivrednog zemljišta te poslovnih objekata.</w:t>
      </w:r>
    </w:p>
    <w:p w:rsidR="00565EAC" w:rsidRDefault="00565EAC"/>
    <w:p w:rsidR="00565EAC" w:rsidRDefault="001F4708">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65EAC">
        <w:tblPrEx>
          <w:tblCellMar>
            <w:top w:w="0" w:type="dxa"/>
            <w:bottom w:w="0" w:type="dxa"/>
          </w:tblCellMar>
        </w:tblPrEx>
        <w:trPr>
          <w:cantSplit/>
        </w:trPr>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Ostvareno u izv</w:t>
            </w:r>
            <w:r>
              <w:rPr>
                <w:b/>
                <w:sz w:val="18"/>
              </w:rPr>
              <w:t>ještajnom razdoblju prethodne godine</w:t>
            </w:r>
          </w:p>
        </w:tc>
        <w:tc>
          <w:tcPr>
            <w:tcW w:w="186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Indeks (%)</w:t>
            </w:r>
          </w:p>
        </w:tc>
      </w:tr>
      <w:tr w:rsidR="00565EAC">
        <w:tblPrEx>
          <w:tblCellMar>
            <w:top w:w="0" w:type="dxa"/>
            <w:bottom w:w="0" w:type="dxa"/>
          </w:tblCellMar>
        </w:tblPrEx>
        <w:trPr>
          <w:cantSplit/>
          <w:trHeight w:val="560"/>
        </w:trPr>
        <w:tc>
          <w:tcPr>
            <w:tcW w:w="700" w:type="dxa"/>
            <w:tcMar>
              <w:top w:w="0" w:type="dxa"/>
              <w:bottom w:w="0" w:type="dxa"/>
            </w:tcMar>
            <w:vAlign w:val="center"/>
          </w:tcPr>
          <w:p w:rsidR="00565EAC" w:rsidRDefault="001F4708">
            <w:pPr>
              <w:keepNext/>
              <w:keepLines/>
              <w:spacing w:after="0" w:line="240" w:lineRule="auto"/>
            </w:pPr>
            <w:r>
              <w:rPr>
                <w:sz w:val="18"/>
              </w:rPr>
              <w:t>65</w:t>
            </w:r>
          </w:p>
        </w:tc>
        <w:tc>
          <w:tcPr>
            <w:tcW w:w="3180" w:type="dxa"/>
            <w:tcMar>
              <w:top w:w="0" w:type="dxa"/>
              <w:bottom w:w="0" w:type="dxa"/>
            </w:tcMar>
            <w:vAlign w:val="center"/>
          </w:tcPr>
          <w:p w:rsidR="00565EAC" w:rsidRDefault="001F4708">
            <w:pPr>
              <w:keepNext/>
              <w:keepLines/>
              <w:spacing w:after="0" w:line="240" w:lineRule="auto"/>
            </w:pPr>
            <w:r>
              <w:rPr>
                <w:sz w:val="18"/>
              </w:rPr>
              <w:t>Prihodi od upravnih i administrativnih pristojbi, pristojbi po posebnim propisima i naknada (šifre 651+652+653+654)</w:t>
            </w:r>
          </w:p>
        </w:tc>
        <w:tc>
          <w:tcPr>
            <w:tcW w:w="700" w:type="dxa"/>
            <w:tcMar>
              <w:top w:w="0" w:type="dxa"/>
              <w:bottom w:w="0" w:type="dxa"/>
            </w:tcMar>
            <w:vAlign w:val="center"/>
          </w:tcPr>
          <w:p w:rsidR="00565EAC" w:rsidRDefault="001F4708">
            <w:pPr>
              <w:keepNext/>
              <w:keepLines/>
              <w:spacing w:after="0" w:line="240" w:lineRule="auto"/>
            </w:pPr>
            <w:r>
              <w:rPr>
                <w:sz w:val="18"/>
              </w:rPr>
              <w:t>65</w:t>
            </w:r>
          </w:p>
        </w:tc>
        <w:tc>
          <w:tcPr>
            <w:tcW w:w="1860" w:type="dxa"/>
            <w:tcMar>
              <w:top w:w="0" w:type="dxa"/>
              <w:bottom w:w="0" w:type="dxa"/>
            </w:tcMar>
            <w:vAlign w:val="center"/>
          </w:tcPr>
          <w:p w:rsidR="00565EAC" w:rsidRDefault="001F4708">
            <w:pPr>
              <w:keepNext/>
              <w:keepLines/>
              <w:spacing w:after="0" w:line="240" w:lineRule="auto"/>
              <w:jc w:val="right"/>
            </w:pPr>
            <w:r>
              <w:rPr>
                <w:sz w:val="18"/>
              </w:rPr>
              <w:t>6.871,56</w:t>
            </w:r>
          </w:p>
        </w:tc>
        <w:tc>
          <w:tcPr>
            <w:tcW w:w="1860" w:type="dxa"/>
            <w:tcMar>
              <w:top w:w="0" w:type="dxa"/>
              <w:bottom w:w="0" w:type="dxa"/>
            </w:tcMar>
            <w:vAlign w:val="center"/>
          </w:tcPr>
          <w:p w:rsidR="00565EAC" w:rsidRDefault="001F4708">
            <w:pPr>
              <w:keepNext/>
              <w:keepLines/>
              <w:spacing w:after="0" w:line="240" w:lineRule="auto"/>
              <w:jc w:val="right"/>
            </w:pPr>
            <w:r>
              <w:rPr>
                <w:sz w:val="18"/>
              </w:rPr>
              <w:t>9.335,40</w:t>
            </w:r>
          </w:p>
        </w:tc>
        <w:tc>
          <w:tcPr>
            <w:tcW w:w="700" w:type="dxa"/>
            <w:tcMar>
              <w:top w:w="0" w:type="dxa"/>
              <w:bottom w:w="0" w:type="dxa"/>
            </w:tcMar>
            <w:vAlign w:val="center"/>
          </w:tcPr>
          <w:p w:rsidR="00565EAC" w:rsidRDefault="001F4708">
            <w:pPr>
              <w:keepNext/>
              <w:keepLines/>
              <w:spacing w:after="0" w:line="240" w:lineRule="auto"/>
              <w:jc w:val="right"/>
            </w:pPr>
            <w:r>
              <w:rPr>
                <w:sz w:val="18"/>
              </w:rPr>
              <w:t>135,9</w:t>
            </w:r>
          </w:p>
        </w:tc>
      </w:tr>
    </w:tbl>
    <w:p w:rsidR="00565EAC" w:rsidRDefault="00565EAC">
      <w:pPr>
        <w:spacing w:after="0"/>
      </w:pPr>
    </w:p>
    <w:p w:rsidR="00565EAC" w:rsidRDefault="001F4708">
      <w:r>
        <w:t>Prihodi od upravnih i administrativnih pristojbi, pristojbi po posebnim propisima i naknada šifra 65 ostvaren je više od istog razdoblja prethodne godinom i ima indeks ostvarenja 135,9. Prihodi vodnog gospodarstva šifra 6522  imaju indeks ostvarenja 9,0 je</w:t>
      </w:r>
      <w:r>
        <w:t>r je u prva 3 mjeseca puno manje uplata Naknade za uređenje voda po kojima Općina ostvaruje prihod od Hrvatskih voda. Doprinosi za šume na šifri 6524 imaju indeks ostvarenja 21,5 jer je uplaćeno manje Šumskog doprinosa ,a sve prema obračunu Hrvatskih šuma.</w:t>
      </w:r>
      <w:r>
        <w:t xml:space="preserve"> Ostali nespomenuti prihodi šifra 6526 s indeksom ostvarenja 239,5 jer je u prvom tromjesečju bilo više uplata grobljanske naknade te prihoda od najma društvenih domova. Komunalni doprinos na šifri 6531 imaju indeks 2.901,9 što </w:t>
      </w:r>
      <w:proofErr w:type="spellStart"/>
      <w:r>
        <w:t>znaći</w:t>
      </w:r>
      <w:proofErr w:type="spellEnd"/>
      <w:r>
        <w:t xml:space="preserve"> da je bilo više uplata</w:t>
      </w:r>
      <w:r>
        <w:t xml:space="preserve"> po komunalnom doprinosu.</w:t>
      </w:r>
    </w:p>
    <w:p w:rsidR="00565EAC" w:rsidRDefault="00565EAC"/>
    <w:p w:rsidR="00565EAC" w:rsidRDefault="001F4708">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65EAC">
        <w:tblPrEx>
          <w:tblCellMar>
            <w:top w:w="0" w:type="dxa"/>
            <w:bottom w:w="0" w:type="dxa"/>
          </w:tblCellMar>
        </w:tblPrEx>
        <w:trPr>
          <w:cantSplit/>
        </w:trPr>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Indeks (%)</w:t>
            </w:r>
          </w:p>
        </w:tc>
      </w:tr>
      <w:tr w:rsidR="00565EAC">
        <w:tblPrEx>
          <w:tblCellMar>
            <w:top w:w="0" w:type="dxa"/>
            <w:bottom w:w="0" w:type="dxa"/>
          </w:tblCellMar>
        </w:tblPrEx>
        <w:trPr>
          <w:cantSplit/>
          <w:trHeight w:val="560"/>
        </w:trPr>
        <w:tc>
          <w:tcPr>
            <w:tcW w:w="700" w:type="dxa"/>
            <w:tcMar>
              <w:top w:w="0" w:type="dxa"/>
              <w:bottom w:w="0" w:type="dxa"/>
            </w:tcMar>
            <w:vAlign w:val="center"/>
          </w:tcPr>
          <w:p w:rsidR="00565EAC" w:rsidRDefault="001F4708">
            <w:pPr>
              <w:keepNext/>
              <w:keepLines/>
              <w:spacing w:after="0" w:line="240" w:lineRule="auto"/>
            </w:pPr>
            <w:r>
              <w:rPr>
                <w:sz w:val="18"/>
              </w:rPr>
              <w:t>6526</w:t>
            </w:r>
          </w:p>
        </w:tc>
        <w:tc>
          <w:tcPr>
            <w:tcW w:w="3180" w:type="dxa"/>
            <w:tcMar>
              <w:top w:w="0" w:type="dxa"/>
              <w:bottom w:w="0" w:type="dxa"/>
            </w:tcMar>
            <w:vAlign w:val="center"/>
          </w:tcPr>
          <w:p w:rsidR="00565EAC" w:rsidRDefault="001F4708">
            <w:pPr>
              <w:keepNext/>
              <w:keepLines/>
              <w:spacing w:after="0" w:line="240" w:lineRule="auto"/>
            </w:pPr>
            <w:r>
              <w:rPr>
                <w:sz w:val="18"/>
              </w:rPr>
              <w:t>Ostali nespomenuti prihodi</w:t>
            </w:r>
          </w:p>
        </w:tc>
        <w:tc>
          <w:tcPr>
            <w:tcW w:w="700" w:type="dxa"/>
            <w:tcMar>
              <w:top w:w="0" w:type="dxa"/>
              <w:bottom w:w="0" w:type="dxa"/>
            </w:tcMar>
            <w:vAlign w:val="center"/>
          </w:tcPr>
          <w:p w:rsidR="00565EAC" w:rsidRDefault="001F4708">
            <w:pPr>
              <w:keepNext/>
              <w:keepLines/>
              <w:spacing w:after="0" w:line="240" w:lineRule="auto"/>
            </w:pPr>
            <w:r>
              <w:rPr>
                <w:sz w:val="18"/>
              </w:rPr>
              <w:t>6526</w:t>
            </w:r>
          </w:p>
        </w:tc>
        <w:tc>
          <w:tcPr>
            <w:tcW w:w="1860" w:type="dxa"/>
            <w:tcMar>
              <w:top w:w="0" w:type="dxa"/>
              <w:bottom w:w="0" w:type="dxa"/>
            </w:tcMar>
            <w:vAlign w:val="center"/>
          </w:tcPr>
          <w:p w:rsidR="00565EAC" w:rsidRDefault="001F4708">
            <w:pPr>
              <w:keepNext/>
              <w:keepLines/>
              <w:spacing w:after="0" w:line="240" w:lineRule="auto"/>
              <w:jc w:val="right"/>
            </w:pPr>
            <w:r>
              <w:rPr>
                <w:sz w:val="18"/>
              </w:rPr>
              <w:t>3.158,71</w:t>
            </w:r>
          </w:p>
        </w:tc>
        <w:tc>
          <w:tcPr>
            <w:tcW w:w="1860" w:type="dxa"/>
            <w:tcMar>
              <w:top w:w="0" w:type="dxa"/>
              <w:bottom w:w="0" w:type="dxa"/>
            </w:tcMar>
            <w:vAlign w:val="center"/>
          </w:tcPr>
          <w:p w:rsidR="00565EAC" w:rsidRDefault="001F4708">
            <w:pPr>
              <w:keepNext/>
              <w:keepLines/>
              <w:spacing w:after="0" w:line="240" w:lineRule="auto"/>
              <w:jc w:val="right"/>
            </w:pPr>
            <w:r>
              <w:rPr>
                <w:sz w:val="18"/>
              </w:rPr>
              <w:t>7.566,06</w:t>
            </w:r>
          </w:p>
        </w:tc>
        <w:tc>
          <w:tcPr>
            <w:tcW w:w="700" w:type="dxa"/>
            <w:tcMar>
              <w:top w:w="0" w:type="dxa"/>
              <w:bottom w:w="0" w:type="dxa"/>
            </w:tcMar>
            <w:vAlign w:val="center"/>
          </w:tcPr>
          <w:p w:rsidR="00565EAC" w:rsidRDefault="001F4708">
            <w:pPr>
              <w:keepNext/>
              <w:keepLines/>
              <w:spacing w:after="0" w:line="240" w:lineRule="auto"/>
              <w:jc w:val="right"/>
            </w:pPr>
            <w:r>
              <w:rPr>
                <w:sz w:val="18"/>
              </w:rPr>
              <w:t>239,5</w:t>
            </w:r>
          </w:p>
        </w:tc>
      </w:tr>
    </w:tbl>
    <w:p w:rsidR="00565EAC" w:rsidRDefault="00565EAC">
      <w:pPr>
        <w:spacing w:after="0"/>
      </w:pPr>
    </w:p>
    <w:p w:rsidR="00565EAC" w:rsidRDefault="001F4708">
      <w:r>
        <w:t>Ostali nespomenuti prihodi šifra 6526 s indeksom ostvarenja 239,5 jer je u prvom tromjesečju bilo više uplata grobljanske naknade te prihoda od najma društvenih domova. </w:t>
      </w:r>
    </w:p>
    <w:p w:rsidR="00565EAC" w:rsidRDefault="00565EAC"/>
    <w:p w:rsidR="00565EAC" w:rsidRDefault="001F4708">
      <w:pPr>
        <w:keepNext/>
        <w:spacing w:line="240" w:lineRule="auto"/>
        <w:jc w:val="center"/>
      </w:pPr>
      <w:r>
        <w:rPr>
          <w:sz w:val="28"/>
        </w:rPr>
        <w:lastRenderedPageBreak/>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65EAC">
        <w:tblPrEx>
          <w:tblCellMar>
            <w:top w:w="0" w:type="dxa"/>
            <w:bottom w:w="0" w:type="dxa"/>
          </w:tblCellMar>
        </w:tblPrEx>
        <w:trPr>
          <w:cantSplit/>
        </w:trPr>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Ostvareno u izvještajnom razdoblju</w:t>
            </w:r>
            <w:r>
              <w:rPr>
                <w:b/>
                <w:sz w:val="18"/>
              </w:rPr>
              <w:t xml:space="preserve"> prethodne godine</w:t>
            </w:r>
          </w:p>
        </w:tc>
        <w:tc>
          <w:tcPr>
            <w:tcW w:w="186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Indeks (%)</w:t>
            </w:r>
          </w:p>
        </w:tc>
      </w:tr>
      <w:tr w:rsidR="00565EAC">
        <w:tblPrEx>
          <w:tblCellMar>
            <w:top w:w="0" w:type="dxa"/>
            <w:bottom w:w="0" w:type="dxa"/>
          </w:tblCellMar>
        </w:tblPrEx>
        <w:trPr>
          <w:cantSplit/>
          <w:trHeight w:val="560"/>
        </w:trPr>
        <w:tc>
          <w:tcPr>
            <w:tcW w:w="700" w:type="dxa"/>
            <w:tcMar>
              <w:top w:w="0" w:type="dxa"/>
              <w:bottom w:w="0" w:type="dxa"/>
            </w:tcMar>
            <w:vAlign w:val="center"/>
          </w:tcPr>
          <w:p w:rsidR="00565EAC" w:rsidRDefault="001F4708">
            <w:pPr>
              <w:keepNext/>
              <w:keepLines/>
              <w:spacing w:after="0" w:line="240" w:lineRule="auto"/>
            </w:pPr>
            <w:r>
              <w:rPr>
                <w:sz w:val="18"/>
              </w:rPr>
              <w:t>6531</w:t>
            </w:r>
          </w:p>
        </w:tc>
        <w:tc>
          <w:tcPr>
            <w:tcW w:w="3180" w:type="dxa"/>
            <w:tcMar>
              <w:top w:w="0" w:type="dxa"/>
              <w:bottom w:w="0" w:type="dxa"/>
            </w:tcMar>
            <w:vAlign w:val="center"/>
          </w:tcPr>
          <w:p w:rsidR="00565EAC" w:rsidRDefault="001F4708">
            <w:pPr>
              <w:keepNext/>
              <w:keepLines/>
              <w:spacing w:after="0" w:line="240" w:lineRule="auto"/>
            </w:pPr>
            <w:r>
              <w:rPr>
                <w:sz w:val="18"/>
              </w:rPr>
              <w:t>Komunalni doprinosi</w:t>
            </w:r>
          </w:p>
        </w:tc>
        <w:tc>
          <w:tcPr>
            <w:tcW w:w="700" w:type="dxa"/>
            <w:tcMar>
              <w:top w:w="0" w:type="dxa"/>
              <w:bottom w:w="0" w:type="dxa"/>
            </w:tcMar>
            <w:vAlign w:val="center"/>
          </w:tcPr>
          <w:p w:rsidR="00565EAC" w:rsidRDefault="001F4708">
            <w:pPr>
              <w:keepNext/>
              <w:keepLines/>
              <w:spacing w:after="0" w:line="240" w:lineRule="auto"/>
            </w:pPr>
            <w:r>
              <w:rPr>
                <w:sz w:val="18"/>
              </w:rPr>
              <w:t>6531</w:t>
            </w:r>
          </w:p>
        </w:tc>
        <w:tc>
          <w:tcPr>
            <w:tcW w:w="1860" w:type="dxa"/>
            <w:tcMar>
              <w:top w:w="0" w:type="dxa"/>
              <w:bottom w:w="0" w:type="dxa"/>
            </w:tcMar>
            <w:vAlign w:val="center"/>
          </w:tcPr>
          <w:p w:rsidR="00565EAC" w:rsidRDefault="001F4708">
            <w:pPr>
              <w:keepNext/>
              <w:keepLines/>
              <w:spacing w:after="0" w:line="240" w:lineRule="auto"/>
              <w:jc w:val="right"/>
            </w:pPr>
            <w:r>
              <w:rPr>
                <w:sz w:val="18"/>
              </w:rPr>
              <w:t>36,99</w:t>
            </w:r>
          </w:p>
        </w:tc>
        <w:tc>
          <w:tcPr>
            <w:tcW w:w="1860" w:type="dxa"/>
            <w:tcMar>
              <w:top w:w="0" w:type="dxa"/>
              <w:bottom w:w="0" w:type="dxa"/>
            </w:tcMar>
            <w:vAlign w:val="center"/>
          </w:tcPr>
          <w:p w:rsidR="00565EAC" w:rsidRDefault="001F4708">
            <w:pPr>
              <w:keepNext/>
              <w:keepLines/>
              <w:spacing w:after="0" w:line="240" w:lineRule="auto"/>
              <w:jc w:val="right"/>
            </w:pPr>
            <w:r>
              <w:rPr>
                <w:sz w:val="18"/>
              </w:rPr>
              <w:t>1.073,40</w:t>
            </w:r>
          </w:p>
        </w:tc>
        <w:tc>
          <w:tcPr>
            <w:tcW w:w="700" w:type="dxa"/>
            <w:tcMar>
              <w:top w:w="0" w:type="dxa"/>
              <w:bottom w:w="0" w:type="dxa"/>
            </w:tcMar>
            <w:vAlign w:val="center"/>
          </w:tcPr>
          <w:p w:rsidR="00565EAC" w:rsidRDefault="001F4708">
            <w:pPr>
              <w:keepNext/>
              <w:keepLines/>
              <w:spacing w:after="0" w:line="240" w:lineRule="auto"/>
              <w:jc w:val="right"/>
            </w:pPr>
            <w:r>
              <w:rPr>
                <w:sz w:val="18"/>
              </w:rPr>
              <w:t>2901,9</w:t>
            </w:r>
          </w:p>
        </w:tc>
      </w:tr>
    </w:tbl>
    <w:p w:rsidR="00565EAC" w:rsidRDefault="00565EAC">
      <w:pPr>
        <w:spacing w:after="0"/>
      </w:pPr>
    </w:p>
    <w:p w:rsidR="00565EAC" w:rsidRDefault="001F4708">
      <w:r>
        <w:t xml:space="preserve">Komunalni doprinos na šifri 6531 imaju indeks 2.901,9 što </w:t>
      </w:r>
      <w:proofErr w:type="spellStart"/>
      <w:r>
        <w:t>znaći</w:t>
      </w:r>
      <w:proofErr w:type="spellEnd"/>
      <w:r>
        <w:t xml:space="preserve"> da je bilo više uplata po komunalnom doprinosu.</w:t>
      </w:r>
    </w:p>
    <w:p w:rsidR="00565EAC" w:rsidRDefault="00565EAC"/>
    <w:p w:rsidR="00565EAC" w:rsidRDefault="001F4708">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65EAC">
        <w:tblPrEx>
          <w:tblCellMar>
            <w:top w:w="0" w:type="dxa"/>
            <w:bottom w:w="0" w:type="dxa"/>
          </w:tblCellMar>
        </w:tblPrEx>
        <w:trPr>
          <w:cantSplit/>
        </w:trPr>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Indeks (%)</w:t>
            </w:r>
          </w:p>
        </w:tc>
      </w:tr>
      <w:tr w:rsidR="00565EAC">
        <w:tblPrEx>
          <w:tblCellMar>
            <w:top w:w="0" w:type="dxa"/>
            <w:bottom w:w="0" w:type="dxa"/>
          </w:tblCellMar>
        </w:tblPrEx>
        <w:trPr>
          <w:cantSplit/>
          <w:trHeight w:val="560"/>
        </w:trPr>
        <w:tc>
          <w:tcPr>
            <w:tcW w:w="700" w:type="dxa"/>
            <w:tcMar>
              <w:top w:w="0" w:type="dxa"/>
              <w:bottom w:w="0" w:type="dxa"/>
            </w:tcMar>
            <w:vAlign w:val="center"/>
          </w:tcPr>
          <w:p w:rsidR="00565EAC" w:rsidRDefault="001F4708">
            <w:pPr>
              <w:keepNext/>
              <w:keepLines/>
              <w:spacing w:after="0" w:line="240" w:lineRule="auto"/>
            </w:pPr>
            <w:r>
              <w:rPr>
                <w:sz w:val="18"/>
              </w:rPr>
              <w:t>68</w:t>
            </w:r>
          </w:p>
        </w:tc>
        <w:tc>
          <w:tcPr>
            <w:tcW w:w="3180" w:type="dxa"/>
            <w:tcMar>
              <w:top w:w="0" w:type="dxa"/>
              <w:bottom w:w="0" w:type="dxa"/>
            </w:tcMar>
            <w:vAlign w:val="center"/>
          </w:tcPr>
          <w:p w:rsidR="00565EAC" w:rsidRDefault="001F4708">
            <w:pPr>
              <w:keepNext/>
              <w:keepLines/>
              <w:spacing w:after="0" w:line="240" w:lineRule="auto"/>
            </w:pPr>
            <w:r>
              <w:rPr>
                <w:sz w:val="18"/>
              </w:rPr>
              <w:t>Kazne, upravne mjere i ostali prihodi (šifre 681+683)</w:t>
            </w:r>
          </w:p>
        </w:tc>
        <w:tc>
          <w:tcPr>
            <w:tcW w:w="700" w:type="dxa"/>
            <w:tcMar>
              <w:top w:w="0" w:type="dxa"/>
              <w:bottom w:w="0" w:type="dxa"/>
            </w:tcMar>
            <w:vAlign w:val="center"/>
          </w:tcPr>
          <w:p w:rsidR="00565EAC" w:rsidRDefault="001F4708">
            <w:pPr>
              <w:keepNext/>
              <w:keepLines/>
              <w:spacing w:after="0" w:line="240" w:lineRule="auto"/>
            </w:pPr>
            <w:r>
              <w:rPr>
                <w:sz w:val="18"/>
              </w:rPr>
              <w:t>68</w:t>
            </w:r>
          </w:p>
        </w:tc>
        <w:tc>
          <w:tcPr>
            <w:tcW w:w="1860" w:type="dxa"/>
            <w:tcMar>
              <w:top w:w="0" w:type="dxa"/>
              <w:bottom w:w="0" w:type="dxa"/>
            </w:tcMar>
            <w:vAlign w:val="center"/>
          </w:tcPr>
          <w:p w:rsidR="00565EAC" w:rsidRDefault="001F4708">
            <w:pPr>
              <w:keepNext/>
              <w:keepLines/>
              <w:spacing w:after="0" w:line="240" w:lineRule="auto"/>
              <w:jc w:val="right"/>
            </w:pPr>
            <w:r>
              <w:rPr>
                <w:sz w:val="18"/>
              </w:rPr>
              <w:t>132,72</w:t>
            </w:r>
          </w:p>
        </w:tc>
        <w:tc>
          <w:tcPr>
            <w:tcW w:w="1860" w:type="dxa"/>
            <w:tcMar>
              <w:top w:w="0" w:type="dxa"/>
              <w:bottom w:w="0" w:type="dxa"/>
            </w:tcMar>
            <w:vAlign w:val="center"/>
          </w:tcPr>
          <w:p w:rsidR="00565EAC" w:rsidRDefault="001F4708">
            <w:pPr>
              <w:keepNext/>
              <w:keepLines/>
              <w:spacing w:after="0" w:line="240" w:lineRule="auto"/>
              <w:jc w:val="right"/>
            </w:pPr>
            <w:r>
              <w:rPr>
                <w:sz w:val="18"/>
              </w:rPr>
              <w:t>179,94</w:t>
            </w:r>
          </w:p>
        </w:tc>
        <w:tc>
          <w:tcPr>
            <w:tcW w:w="700" w:type="dxa"/>
            <w:tcMar>
              <w:top w:w="0" w:type="dxa"/>
              <w:bottom w:w="0" w:type="dxa"/>
            </w:tcMar>
            <w:vAlign w:val="center"/>
          </w:tcPr>
          <w:p w:rsidR="00565EAC" w:rsidRDefault="001F4708">
            <w:pPr>
              <w:keepNext/>
              <w:keepLines/>
              <w:spacing w:after="0" w:line="240" w:lineRule="auto"/>
              <w:jc w:val="right"/>
            </w:pPr>
            <w:r>
              <w:rPr>
                <w:sz w:val="18"/>
              </w:rPr>
              <w:t>135,6</w:t>
            </w:r>
          </w:p>
        </w:tc>
      </w:tr>
    </w:tbl>
    <w:p w:rsidR="00565EAC" w:rsidRDefault="00565EAC">
      <w:pPr>
        <w:spacing w:after="0"/>
      </w:pPr>
    </w:p>
    <w:p w:rsidR="00565EAC" w:rsidRDefault="001F4708">
      <w:r>
        <w:t>Kazne i upravne mjere ostvarene su 135,6 jer je komunalno redarstvo izdalo i naplatilo više kazna po prekršajnim postupcima što se najviše odnosi na bacanje komunalnog otpada na javnim površinama.</w:t>
      </w:r>
    </w:p>
    <w:p w:rsidR="00565EAC" w:rsidRDefault="00565EAC"/>
    <w:p w:rsidR="00565EAC" w:rsidRDefault="001F4708">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65EAC">
        <w:tblPrEx>
          <w:tblCellMar>
            <w:top w:w="0" w:type="dxa"/>
            <w:bottom w:w="0" w:type="dxa"/>
          </w:tblCellMar>
        </w:tblPrEx>
        <w:trPr>
          <w:cantSplit/>
        </w:trPr>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Ostvare</w:t>
            </w:r>
            <w:r>
              <w:rPr>
                <w:b/>
                <w:sz w:val="18"/>
              </w:rPr>
              <w:t>no u izvještajnom razdoblju prethodne godine</w:t>
            </w:r>
          </w:p>
        </w:tc>
        <w:tc>
          <w:tcPr>
            <w:tcW w:w="186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Indeks (%)</w:t>
            </w:r>
          </w:p>
        </w:tc>
      </w:tr>
      <w:tr w:rsidR="00565EAC">
        <w:tblPrEx>
          <w:tblCellMar>
            <w:top w:w="0" w:type="dxa"/>
            <w:bottom w:w="0" w:type="dxa"/>
          </w:tblCellMar>
        </w:tblPrEx>
        <w:trPr>
          <w:cantSplit/>
          <w:trHeight w:val="560"/>
        </w:trPr>
        <w:tc>
          <w:tcPr>
            <w:tcW w:w="700" w:type="dxa"/>
            <w:tcMar>
              <w:top w:w="0" w:type="dxa"/>
              <w:bottom w:w="0" w:type="dxa"/>
            </w:tcMar>
            <w:vAlign w:val="center"/>
          </w:tcPr>
          <w:p w:rsidR="00565EAC" w:rsidRDefault="001F4708">
            <w:pPr>
              <w:keepNext/>
              <w:keepLines/>
              <w:spacing w:after="0" w:line="240" w:lineRule="auto"/>
            </w:pPr>
            <w:r>
              <w:rPr>
                <w:sz w:val="18"/>
              </w:rPr>
              <w:t>3</w:t>
            </w:r>
          </w:p>
        </w:tc>
        <w:tc>
          <w:tcPr>
            <w:tcW w:w="3180" w:type="dxa"/>
            <w:tcMar>
              <w:top w:w="0" w:type="dxa"/>
              <w:bottom w:w="0" w:type="dxa"/>
            </w:tcMar>
            <w:vAlign w:val="center"/>
          </w:tcPr>
          <w:p w:rsidR="00565EAC" w:rsidRDefault="001F4708">
            <w:pPr>
              <w:keepNext/>
              <w:keepLines/>
              <w:spacing w:after="0" w:line="240" w:lineRule="auto"/>
            </w:pPr>
            <w:r>
              <w:rPr>
                <w:sz w:val="18"/>
              </w:rPr>
              <w:t>RASHODI POSLOVANJA (šifre 31+32+34+35+36+37+38)</w:t>
            </w:r>
          </w:p>
        </w:tc>
        <w:tc>
          <w:tcPr>
            <w:tcW w:w="700" w:type="dxa"/>
            <w:tcMar>
              <w:top w:w="0" w:type="dxa"/>
              <w:bottom w:w="0" w:type="dxa"/>
            </w:tcMar>
            <w:vAlign w:val="center"/>
          </w:tcPr>
          <w:p w:rsidR="00565EAC" w:rsidRDefault="001F4708">
            <w:pPr>
              <w:keepNext/>
              <w:keepLines/>
              <w:spacing w:after="0" w:line="240" w:lineRule="auto"/>
            </w:pPr>
            <w:r>
              <w:rPr>
                <w:sz w:val="18"/>
              </w:rPr>
              <w:t>3</w:t>
            </w:r>
          </w:p>
        </w:tc>
        <w:tc>
          <w:tcPr>
            <w:tcW w:w="1860" w:type="dxa"/>
            <w:tcMar>
              <w:top w:w="0" w:type="dxa"/>
              <w:bottom w:w="0" w:type="dxa"/>
            </w:tcMar>
            <w:vAlign w:val="center"/>
          </w:tcPr>
          <w:p w:rsidR="00565EAC" w:rsidRDefault="001F4708">
            <w:pPr>
              <w:keepNext/>
              <w:keepLines/>
              <w:spacing w:after="0" w:line="240" w:lineRule="auto"/>
              <w:jc w:val="right"/>
            </w:pPr>
            <w:r>
              <w:rPr>
                <w:sz w:val="18"/>
              </w:rPr>
              <w:t>265.904,86</w:t>
            </w:r>
          </w:p>
        </w:tc>
        <w:tc>
          <w:tcPr>
            <w:tcW w:w="1860" w:type="dxa"/>
            <w:tcMar>
              <w:top w:w="0" w:type="dxa"/>
              <w:bottom w:w="0" w:type="dxa"/>
            </w:tcMar>
            <w:vAlign w:val="center"/>
          </w:tcPr>
          <w:p w:rsidR="00565EAC" w:rsidRDefault="001F4708">
            <w:pPr>
              <w:keepNext/>
              <w:keepLines/>
              <w:spacing w:after="0" w:line="240" w:lineRule="auto"/>
              <w:jc w:val="right"/>
            </w:pPr>
            <w:r>
              <w:rPr>
                <w:sz w:val="18"/>
              </w:rPr>
              <w:t>437.687,10</w:t>
            </w:r>
          </w:p>
        </w:tc>
        <w:tc>
          <w:tcPr>
            <w:tcW w:w="700" w:type="dxa"/>
            <w:tcMar>
              <w:top w:w="0" w:type="dxa"/>
              <w:bottom w:w="0" w:type="dxa"/>
            </w:tcMar>
            <w:vAlign w:val="center"/>
          </w:tcPr>
          <w:p w:rsidR="00565EAC" w:rsidRDefault="001F4708">
            <w:pPr>
              <w:keepNext/>
              <w:keepLines/>
              <w:spacing w:after="0" w:line="240" w:lineRule="auto"/>
              <w:jc w:val="right"/>
            </w:pPr>
            <w:r>
              <w:rPr>
                <w:sz w:val="18"/>
              </w:rPr>
              <w:t>164,6</w:t>
            </w:r>
          </w:p>
        </w:tc>
      </w:tr>
    </w:tbl>
    <w:p w:rsidR="00565EAC" w:rsidRDefault="00565EAC">
      <w:pPr>
        <w:spacing w:after="0"/>
      </w:pPr>
    </w:p>
    <w:p w:rsidR="00565EAC" w:rsidRDefault="001F4708">
      <w:r>
        <w:t>Rashodi poslovanja ostvareni su s indeksom 164,6 u odnosu na prethodnu godinu ostvareno u izvještajnom razdoblju prethodne godine.</w:t>
      </w:r>
    </w:p>
    <w:p w:rsidR="00565EAC" w:rsidRDefault="00565EAC"/>
    <w:p w:rsidR="00565EAC" w:rsidRDefault="001F4708">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65EAC">
        <w:tblPrEx>
          <w:tblCellMar>
            <w:top w:w="0" w:type="dxa"/>
            <w:bottom w:w="0" w:type="dxa"/>
          </w:tblCellMar>
        </w:tblPrEx>
        <w:trPr>
          <w:cantSplit/>
        </w:trPr>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Ostvareno u izvještaj</w:t>
            </w:r>
            <w:r>
              <w:rPr>
                <w:b/>
                <w:sz w:val="18"/>
              </w:rPr>
              <w:t>nom razdoblju tekuće godine</w:t>
            </w:r>
          </w:p>
        </w:tc>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Indeks (%)</w:t>
            </w:r>
          </w:p>
        </w:tc>
      </w:tr>
      <w:tr w:rsidR="00565EAC">
        <w:tblPrEx>
          <w:tblCellMar>
            <w:top w:w="0" w:type="dxa"/>
            <w:bottom w:w="0" w:type="dxa"/>
          </w:tblCellMar>
        </w:tblPrEx>
        <w:trPr>
          <w:cantSplit/>
          <w:trHeight w:val="560"/>
        </w:trPr>
        <w:tc>
          <w:tcPr>
            <w:tcW w:w="700" w:type="dxa"/>
            <w:tcMar>
              <w:top w:w="0" w:type="dxa"/>
              <w:bottom w:w="0" w:type="dxa"/>
            </w:tcMar>
            <w:vAlign w:val="center"/>
          </w:tcPr>
          <w:p w:rsidR="00565EAC" w:rsidRDefault="001F4708">
            <w:pPr>
              <w:keepNext/>
              <w:keepLines/>
              <w:spacing w:after="0" w:line="240" w:lineRule="auto"/>
            </w:pPr>
            <w:r>
              <w:rPr>
                <w:sz w:val="18"/>
              </w:rPr>
              <w:t>32</w:t>
            </w:r>
          </w:p>
        </w:tc>
        <w:tc>
          <w:tcPr>
            <w:tcW w:w="3180" w:type="dxa"/>
            <w:tcMar>
              <w:top w:w="0" w:type="dxa"/>
              <w:bottom w:w="0" w:type="dxa"/>
            </w:tcMar>
            <w:vAlign w:val="center"/>
          </w:tcPr>
          <w:p w:rsidR="00565EAC" w:rsidRDefault="001F4708">
            <w:pPr>
              <w:keepNext/>
              <w:keepLines/>
              <w:spacing w:after="0" w:line="240" w:lineRule="auto"/>
            </w:pPr>
            <w:r>
              <w:rPr>
                <w:sz w:val="18"/>
              </w:rPr>
              <w:t>Materijalni rashodi (šifre 321+322+323+324+325+329)</w:t>
            </w:r>
          </w:p>
        </w:tc>
        <w:tc>
          <w:tcPr>
            <w:tcW w:w="700" w:type="dxa"/>
            <w:tcMar>
              <w:top w:w="0" w:type="dxa"/>
              <w:bottom w:w="0" w:type="dxa"/>
            </w:tcMar>
            <w:vAlign w:val="center"/>
          </w:tcPr>
          <w:p w:rsidR="00565EAC" w:rsidRDefault="001F4708">
            <w:pPr>
              <w:keepNext/>
              <w:keepLines/>
              <w:spacing w:after="0" w:line="240" w:lineRule="auto"/>
            </w:pPr>
            <w:r>
              <w:rPr>
                <w:sz w:val="18"/>
              </w:rPr>
              <w:t>32</w:t>
            </w:r>
          </w:p>
        </w:tc>
        <w:tc>
          <w:tcPr>
            <w:tcW w:w="1860" w:type="dxa"/>
            <w:tcMar>
              <w:top w:w="0" w:type="dxa"/>
              <w:bottom w:w="0" w:type="dxa"/>
            </w:tcMar>
            <w:vAlign w:val="center"/>
          </w:tcPr>
          <w:p w:rsidR="00565EAC" w:rsidRDefault="001F4708">
            <w:pPr>
              <w:keepNext/>
              <w:keepLines/>
              <w:spacing w:after="0" w:line="240" w:lineRule="auto"/>
              <w:jc w:val="right"/>
            </w:pPr>
            <w:r>
              <w:rPr>
                <w:sz w:val="18"/>
              </w:rPr>
              <w:t>66.707,84</w:t>
            </w:r>
          </w:p>
        </w:tc>
        <w:tc>
          <w:tcPr>
            <w:tcW w:w="1860" w:type="dxa"/>
            <w:tcMar>
              <w:top w:w="0" w:type="dxa"/>
              <w:bottom w:w="0" w:type="dxa"/>
            </w:tcMar>
            <w:vAlign w:val="center"/>
          </w:tcPr>
          <w:p w:rsidR="00565EAC" w:rsidRDefault="001F4708">
            <w:pPr>
              <w:keepNext/>
              <w:keepLines/>
              <w:spacing w:after="0" w:line="240" w:lineRule="auto"/>
              <w:jc w:val="right"/>
            </w:pPr>
            <w:r>
              <w:rPr>
                <w:sz w:val="18"/>
              </w:rPr>
              <w:t>142.830,04</w:t>
            </w:r>
          </w:p>
        </w:tc>
        <w:tc>
          <w:tcPr>
            <w:tcW w:w="700" w:type="dxa"/>
            <w:tcMar>
              <w:top w:w="0" w:type="dxa"/>
              <w:bottom w:w="0" w:type="dxa"/>
            </w:tcMar>
            <w:vAlign w:val="center"/>
          </w:tcPr>
          <w:p w:rsidR="00565EAC" w:rsidRDefault="001F4708">
            <w:pPr>
              <w:keepNext/>
              <w:keepLines/>
              <w:spacing w:after="0" w:line="240" w:lineRule="auto"/>
              <w:jc w:val="right"/>
            </w:pPr>
            <w:r>
              <w:rPr>
                <w:sz w:val="18"/>
              </w:rPr>
              <w:t>214,1</w:t>
            </w:r>
          </w:p>
        </w:tc>
      </w:tr>
    </w:tbl>
    <w:p w:rsidR="00565EAC" w:rsidRDefault="00565EAC">
      <w:pPr>
        <w:spacing w:after="0"/>
      </w:pPr>
    </w:p>
    <w:p w:rsidR="00565EAC" w:rsidRDefault="001F4708">
      <w:r>
        <w:t>Materijalni rashodi na šifri 32 ostvareni su s indeksom ostvarenja 214,1 a odnosi se na povećanje rashoda za materijal i energiju i rashodi za uslugu.</w:t>
      </w:r>
    </w:p>
    <w:p w:rsidR="00565EAC" w:rsidRDefault="00565EAC"/>
    <w:p w:rsidR="00565EAC" w:rsidRDefault="001F4708">
      <w:pPr>
        <w:keepNext/>
        <w:spacing w:line="240" w:lineRule="auto"/>
        <w:jc w:val="center"/>
      </w:pPr>
      <w:r>
        <w:rPr>
          <w:sz w:val="28"/>
        </w:rPr>
        <w:lastRenderedPageBreak/>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65EAC">
        <w:tblPrEx>
          <w:tblCellMar>
            <w:top w:w="0" w:type="dxa"/>
            <w:bottom w:w="0" w:type="dxa"/>
          </w:tblCellMar>
        </w:tblPrEx>
        <w:trPr>
          <w:cantSplit/>
        </w:trPr>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w:t>
            </w:r>
            <w:r>
              <w:rPr>
                <w:b/>
                <w:sz w:val="18"/>
              </w:rPr>
              <w:t>stvareno u izvještajnom razdoblju tekuće godine</w:t>
            </w:r>
          </w:p>
        </w:tc>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Indeks (%)</w:t>
            </w:r>
          </w:p>
        </w:tc>
      </w:tr>
      <w:tr w:rsidR="00565EAC">
        <w:tblPrEx>
          <w:tblCellMar>
            <w:top w:w="0" w:type="dxa"/>
            <w:bottom w:w="0" w:type="dxa"/>
          </w:tblCellMar>
        </w:tblPrEx>
        <w:trPr>
          <w:cantSplit/>
          <w:trHeight w:val="560"/>
        </w:trPr>
        <w:tc>
          <w:tcPr>
            <w:tcW w:w="700" w:type="dxa"/>
            <w:tcMar>
              <w:top w:w="0" w:type="dxa"/>
              <w:bottom w:w="0" w:type="dxa"/>
            </w:tcMar>
            <w:vAlign w:val="center"/>
          </w:tcPr>
          <w:p w:rsidR="00565EAC" w:rsidRDefault="001F4708">
            <w:pPr>
              <w:keepNext/>
              <w:keepLines/>
              <w:spacing w:after="0" w:line="240" w:lineRule="auto"/>
            </w:pPr>
            <w:r>
              <w:rPr>
                <w:sz w:val="18"/>
              </w:rPr>
              <w:t>3211</w:t>
            </w:r>
          </w:p>
        </w:tc>
        <w:tc>
          <w:tcPr>
            <w:tcW w:w="3180" w:type="dxa"/>
            <w:tcMar>
              <w:top w:w="0" w:type="dxa"/>
              <w:bottom w:w="0" w:type="dxa"/>
            </w:tcMar>
            <w:vAlign w:val="center"/>
          </w:tcPr>
          <w:p w:rsidR="00565EAC" w:rsidRDefault="001F4708">
            <w:pPr>
              <w:keepNext/>
              <w:keepLines/>
              <w:spacing w:after="0" w:line="240" w:lineRule="auto"/>
            </w:pPr>
            <w:r>
              <w:rPr>
                <w:sz w:val="18"/>
              </w:rPr>
              <w:t>Službena putovanja</w:t>
            </w:r>
          </w:p>
        </w:tc>
        <w:tc>
          <w:tcPr>
            <w:tcW w:w="700" w:type="dxa"/>
            <w:tcMar>
              <w:top w:w="0" w:type="dxa"/>
              <w:bottom w:w="0" w:type="dxa"/>
            </w:tcMar>
            <w:vAlign w:val="center"/>
          </w:tcPr>
          <w:p w:rsidR="00565EAC" w:rsidRDefault="001F4708">
            <w:pPr>
              <w:keepNext/>
              <w:keepLines/>
              <w:spacing w:after="0" w:line="240" w:lineRule="auto"/>
            </w:pPr>
            <w:r>
              <w:rPr>
                <w:sz w:val="18"/>
              </w:rPr>
              <w:t>3211</w:t>
            </w:r>
          </w:p>
        </w:tc>
        <w:tc>
          <w:tcPr>
            <w:tcW w:w="1860" w:type="dxa"/>
            <w:tcMar>
              <w:top w:w="0" w:type="dxa"/>
              <w:bottom w:w="0" w:type="dxa"/>
            </w:tcMar>
            <w:vAlign w:val="center"/>
          </w:tcPr>
          <w:p w:rsidR="00565EAC" w:rsidRDefault="001F4708">
            <w:pPr>
              <w:keepNext/>
              <w:keepLines/>
              <w:spacing w:after="0" w:line="240" w:lineRule="auto"/>
              <w:jc w:val="right"/>
            </w:pPr>
            <w:r>
              <w:rPr>
                <w:sz w:val="18"/>
              </w:rPr>
              <w:t>213,00</w:t>
            </w:r>
          </w:p>
        </w:tc>
        <w:tc>
          <w:tcPr>
            <w:tcW w:w="1860" w:type="dxa"/>
            <w:tcMar>
              <w:top w:w="0" w:type="dxa"/>
              <w:bottom w:w="0" w:type="dxa"/>
            </w:tcMar>
            <w:vAlign w:val="center"/>
          </w:tcPr>
          <w:p w:rsidR="00565EAC" w:rsidRDefault="001F4708">
            <w:pPr>
              <w:keepNext/>
              <w:keepLines/>
              <w:spacing w:after="0" w:line="240" w:lineRule="auto"/>
              <w:jc w:val="right"/>
            </w:pPr>
            <w:r>
              <w:rPr>
                <w:sz w:val="18"/>
              </w:rPr>
              <w:t>107,00</w:t>
            </w:r>
          </w:p>
        </w:tc>
        <w:tc>
          <w:tcPr>
            <w:tcW w:w="700" w:type="dxa"/>
            <w:tcMar>
              <w:top w:w="0" w:type="dxa"/>
              <w:bottom w:w="0" w:type="dxa"/>
            </w:tcMar>
            <w:vAlign w:val="center"/>
          </w:tcPr>
          <w:p w:rsidR="00565EAC" w:rsidRDefault="001F4708">
            <w:pPr>
              <w:keepNext/>
              <w:keepLines/>
              <w:spacing w:after="0" w:line="240" w:lineRule="auto"/>
              <w:jc w:val="right"/>
            </w:pPr>
            <w:r>
              <w:rPr>
                <w:sz w:val="18"/>
              </w:rPr>
              <w:t>50,2</w:t>
            </w:r>
          </w:p>
        </w:tc>
      </w:tr>
    </w:tbl>
    <w:p w:rsidR="00565EAC" w:rsidRDefault="00565EAC">
      <w:pPr>
        <w:spacing w:after="0"/>
      </w:pPr>
    </w:p>
    <w:p w:rsidR="00565EAC" w:rsidRDefault="001F4708">
      <w:r>
        <w:t xml:space="preserve">Za službena putovanja i stručno osposobljavanje zaposlenika utrošeno je znatnije manje sredstva jer su većinom zaposlenici koristili mogućnost </w:t>
      </w:r>
      <w:proofErr w:type="spellStart"/>
      <w:r>
        <w:t>webinara</w:t>
      </w:r>
      <w:proofErr w:type="spellEnd"/>
      <w:r>
        <w:t xml:space="preserve"> kao edukacija pa nije niti postojala potreba za službenim putovanjima.</w:t>
      </w:r>
    </w:p>
    <w:p w:rsidR="00565EAC" w:rsidRDefault="00565EAC"/>
    <w:p w:rsidR="00565EAC" w:rsidRDefault="001F4708">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65EAC">
        <w:tblPrEx>
          <w:tblCellMar>
            <w:top w:w="0" w:type="dxa"/>
            <w:bottom w:w="0" w:type="dxa"/>
          </w:tblCellMar>
        </w:tblPrEx>
        <w:trPr>
          <w:cantSplit/>
        </w:trPr>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Indeks (%)</w:t>
            </w:r>
          </w:p>
        </w:tc>
      </w:tr>
      <w:tr w:rsidR="00565EAC">
        <w:tblPrEx>
          <w:tblCellMar>
            <w:top w:w="0" w:type="dxa"/>
            <w:bottom w:w="0" w:type="dxa"/>
          </w:tblCellMar>
        </w:tblPrEx>
        <w:trPr>
          <w:cantSplit/>
          <w:trHeight w:val="560"/>
        </w:trPr>
        <w:tc>
          <w:tcPr>
            <w:tcW w:w="700" w:type="dxa"/>
            <w:tcMar>
              <w:top w:w="0" w:type="dxa"/>
              <w:bottom w:w="0" w:type="dxa"/>
            </w:tcMar>
            <w:vAlign w:val="center"/>
          </w:tcPr>
          <w:p w:rsidR="00565EAC" w:rsidRDefault="001F4708">
            <w:pPr>
              <w:keepNext/>
              <w:keepLines/>
              <w:spacing w:after="0" w:line="240" w:lineRule="auto"/>
            </w:pPr>
            <w:r>
              <w:rPr>
                <w:sz w:val="18"/>
              </w:rPr>
              <w:t>3214</w:t>
            </w:r>
          </w:p>
        </w:tc>
        <w:tc>
          <w:tcPr>
            <w:tcW w:w="3180" w:type="dxa"/>
            <w:tcMar>
              <w:top w:w="0" w:type="dxa"/>
              <w:bottom w:w="0" w:type="dxa"/>
            </w:tcMar>
            <w:vAlign w:val="center"/>
          </w:tcPr>
          <w:p w:rsidR="00565EAC" w:rsidRDefault="001F4708">
            <w:pPr>
              <w:keepNext/>
              <w:keepLines/>
              <w:spacing w:after="0" w:line="240" w:lineRule="auto"/>
            </w:pPr>
            <w:r>
              <w:rPr>
                <w:sz w:val="18"/>
              </w:rPr>
              <w:t>Ostale naknade troškova zaposlenima</w:t>
            </w:r>
          </w:p>
        </w:tc>
        <w:tc>
          <w:tcPr>
            <w:tcW w:w="700" w:type="dxa"/>
            <w:tcMar>
              <w:top w:w="0" w:type="dxa"/>
              <w:bottom w:w="0" w:type="dxa"/>
            </w:tcMar>
            <w:vAlign w:val="center"/>
          </w:tcPr>
          <w:p w:rsidR="00565EAC" w:rsidRDefault="001F4708">
            <w:pPr>
              <w:keepNext/>
              <w:keepLines/>
              <w:spacing w:after="0" w:line="240" w:lineRule="auto"/>
            </w:pPr>
            <w:r>
              <w:rPr>
                <w:sz w:val="18"/>
              </w:rPr>
              <w:t>3214</w:t>
            </w:r>
          </w:p>
        </w:tc>
        <w:tc>
          <w:tcPr>
            <w:tcW w:w="1860" w:type="dxa"/>
            <w:tcMar>
              <w:top w:w="0" w:type="dxa"/>
              <w:bottom w:w="0" w:type="dxa"/>
            </w:tcMar>
            <w:vAlign w:val="center"/>
          </w:tcPr>
          <w:p w:rsidR="00565EAC" w:rsidRDefault="001F4708">
            <w:pPr>
              <w:keepNext/>
              <w:keepLines/>
              <w:spacing w:after="0" w:line="240" w:lineRule="auto"/>
              <w:jc w:val="right"/>
            </w:pPr>
            <w:r>
              <w:rPr>
                <w:sz w:val="18"/>
              </w:rPr>
              <w:t>911,50</w:t>
            </w:r>
          </w:p>
        </w:tc>
        <w:tc>
          <w:tcPr>
            <w:tcW w:w="1860" w:type="dxa"/>
            <w:tcMar>
              <w:top w:w="0" w:type="dxa"/>
              <w:bottom w:w="0" w:type="dxa"/>
            </w:tcMar>
            <w:vAlign w:val="center"/>
          </w:tcPr>
          <w:p w:rsidR="00565EAC" w:rsidRDefault="001F4708">
            <w:pPr>
              <w:keepNext/>
              <w:keepLines/>
              <w:spacing w:after="0" w:line="240" w:lineRule="auto"/>
              <w:jc w:val="right"/>
            </w:pPr>
            <w:r>
              <w:rPr>
                <w:sz w:val="18"/>
              </w:rPr>
              <w:t>1.440,50</w:t>
            </w:r>
          </w:p>
        </w:tc>
        <w:tc>
          <w:tcPr>
            <w:tcW w:w="700" w:type="dxa"/>
            <w:tcMar>
              <w:top w:w="0" w:type="dxa"/>
              <w:bottom w:w="0" w:type="dxa"/>
            </w:tcMar>
            <w:vAlign w:val="center"/>
          </w:tcPr>
          <w:p w:rsidR="00565EAC" w:rsidRDefault="001F4708">
            <w:pPr>
              <w:keepNext/>
              <w:keepLines/>
              <w:spacing w:after="0" w:line="240" w:lineRule="auto"/>
              <w:jc w:val="right"/>
            </w:pPr>
            <w:r>
              <w:rPr>
                <w:sz w:val="18"/>
              </w:rPr>
              <w:t>158,0</w:t>
            </w:r>
          </w:p>
        </w:tc>
      </w:tr>
    </w:tbl>
    <w:p w:rsidR="00565EAC" w:rsidRDefault="00565EAC">
      <w:pPr>
        <w:spacing w:after="0"/>
      </w:pPr>
    </w:p>
    <w:p w:rsidR="00565EAC" w:rsidRDefault="001F4708">
      <w:r>
        <w:t>Ostale naknade troškova zaposlenima na šifri 3214 ima indeks ostvarenja 158,0 su u povećanju u odnosu na ostvareno u izvještajnom razdoblju prethodne godine.</w:t>
      </w:r>
    </w:p>
    <w:p w:rsidR="00565EAC" w:rsidRDefault="00565EAC"/>
    <w:p w:rsidR="00565EAC" w:rsidRDefault="001F4708">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65EAC">
        <w:tblPrEx>
          <w:tblCellMar>
            <w:top w:w="0" w:type="dxa"/>
            <w:bottom w:w="0" w:type="dxa"/>
          </w:tblCellMar>
        </w:tblPrEx>
        <w:trPr>
          <w:cantSplit/>
        </w:trPr>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Ostvareno u izvještajnom razdoblju prethodne g</w:t>
            </w:r>
            <w:r>
              <w:rPr>
                <w:b/>
                <w:sz w:val="18"/>
              </w:rPr>
              <w:t>odine</w:t>
            </w:r>
          </w:p>
        </w:tc>
        <w:tc>
          <w:tcPr>
            <w:tcW w:w="186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Indeks (%)</w:t>
            </w:r>
          </w:p>
        </w:tc>
      </w:tr>
      <w:tr w:rsidR="00565EAC">
        <w:tblPrEx>
          <w:tblCellMar>
            <w:top w:w="0" w:type="dxa"/>
            <w:bottom w:w="0" w:type="dxa"/>
          </w:tblCellMar>
        </w:tblPrEx>
        <w:trPr>
          <w:cantSplit/>
          <w:trHeight w:val="560"/>
        </w:trPr>
        <w:tc>
          <w:tcPr>
            <w:tcW w:w="700" w:type="dxa"/>
            <w:tcMar>
              <w:top w:w="0" w:type="dxa"/>
              <w:bottom w:w="0" w:type="dxa"/>
            </w:tcMar>
            <w:vAlign w:val="center"/>
          </w:tcPr>
          <w:p w:rsidR="00565EAC" w:rsidRDefault="001F4708">
            <w:pPr>
              <w:keepNext/>
              <w:keepLines/>
              <w:spacing w:after="0" w:line="240" w:lineRule="auto"/>
            </w:pPr>
            <w:r>
              <w:rPr>
                <w:sz w:val="18"/>
              </w:rPr>
              <w:t>3223</w:t>
            </w:r>
          </w:p>
        </w:tc>
        <w:tc>
          <w:tcPr>
            <w:tcW w:w="3180" w:type="dxa"/>
            <w:tcMar>
              <w:top w:w="0" w:type="dxa"/>
              <w:bottom w:w="0" w:type="dxa"/>
            </w:tcMar>
            <w:vAlign w:val="center"/>
          </w:tcPr>
          <w:p w:rsidR="00565EAC" w:rsidRDefault="001F4708">
            <w:pPr>
              <w:keepNext/>
              <w:keepLines/>
              <w:spacing w:after="0" w:line="240" w:lineRule="auto"/>
            </w:pPr>
            <w:r>
              <w:rPr>
                <w:sz w:val="18"/>
              </w:rPr>
              <w:t>Energija</w:t>
            </w:r>
          </w:p>
        </w:tc>
        <w:tc>
          <w:tcPr>
            <w:tcW w:w="700" w:type="dxa"/>
            <w:tcMar>
              <w:top w:w="0" w:type="dxa"/>
              <w:bottom w:w="0" w:type="dxa"/>
            </w:tcMar>
            <w:vAlign w:val="center"/>
          </w:tcPr>
          <w:p w:rsidR="00565EAC" w:rsidRDefault="001F4708">
            <w:pPr>
              <w:keepNext/>
              <w:keepLines/>
              <w:spacing w:after="0" w:line="240" w:lineRule="auto"/>
            </w:pPr>
            <w:r>
              <w:rPr>
                <w:sz w:val="18"/>
              </w:rPr>
              <w:t>3223</w:t>
            </w:r>
          </w:p>
        </w:tc>
        <w:tc>
          <w:tcPr>
            <w:tcW w:w="1860" w:type="dxa"/>
            <w:tcMar>
              <w:top w:w="0" w:type="dxa"/>
              <w:bottom w:w="0" w:type="dxa"/>
            </w:tcMar>
            <w:vAlign w:val="center"/>
          </w:tcPr>
          <w:p w:rsidR="00565EAC" w:rsidRDefault="001F4708">
            <w:pPr>
              <w:keepNext/>
              <w:keepLines/>
              <w:spacing w:after="0" w:line="240" w:lineRule="auto"/>
              <w:jc w:val="right"/>
            </w:pPr>
            <w:r>
              <w:rPr>
                <w:sz w:val="18"/>
              </w:rPr>
              <w:t>7.603,13</w:t>
            </w:r>
          </w:p>
        </w:tc>
        <w:tc>
          <w:tcPr>
            <w:tcW w:w="1860" w:type="dxa"/>
            <w:tcMar>
              <w:top w:w="0" w:type="dxa"/>
              <w:bottom w:w="0" w:type="dxa"/>
            </w:tcMar>
            <w:vAlign w:val="center"/>
          </w:tcPr>
          <w:p w:rsidR="00565EAC" w:rsidRDefault="001F4708">
            <w:pPr>
              <w:keepNext/>
              <w:keepLines/>
              <w:spacing w:after="0" w:line="240" w:lineRule="auto"/>
              <w:jc w:val="right"/>
            </w:pPr>
            <w:r>
              <w:rPr>
                <w:sz w:val="18"/>
              </w:rPr>
              <w:t>9.220,74</w:t>
            </w:r>
          </w:p>
        </w:tc>
        <w:tc>
          <w:tcPr>
            <w:tcW w:w="700" w:type="dxa"/>
            <w:tcMar>
              <w:top w:w="0" w:type="dxa"/>
              <w:bottom w:w="0" w:type="dxa"/>
            </w:tcMar>
            <w:vAlign w:val="center"/>
          </w:tcPr>
          <w:p w:rsidR="00565EAC" w:rsidRDefault="001F4708">
            <w:pPr>
              <w:keepNext/>
              <w:keepLines/>
              <w:spacing w:after="0" w:line="240" w:lineRule="auto"/>
              <w:jc w:val="right"/>
            </w:pPr>
            <w:r>
              <w:rPr>
                <w:sz w:val="18"/>
              </w:rPr>
              <w:t>121,3</w:t>
            </w:r>
          </w:p>
        </w:tc>
      </w:tr>
    </w:tbl>
    <w:p w:rsidR="00565EAC" w:rsidRDefault="00565EAC">
      <w:pPr>
        <w:spacing w:after="0"/>
      </w:pPr>
    </w:p>
    <w:p w:rsidR="00565EAC" w:rsidRDefault="001F4708">
      <w:r>
        <w:t>Energija na šifri 3223 ima indeks ostvarenja 121,3 zbog stalnog porasta cijena energenata na tržištu.</w:t>
      </w:r>
    </w:p>
    <w:p w:rsidR="00565EAC" w:rsidRDefault="00565EAC"/>
    <w:p w:rsidR="00565EAC" w:rsidRDefault="001F4708">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65EAC">
        <w:tblPrEx>
          <w:tblCellMar>
            <w:top w:w="0" w:type="dxa"/>
            <w:bottom w:w="0" w:type="dxa"/>
          </w:tblCellMar>
        </w:tblPrEx>
        <w:trPr>
          <w:cantSplit/>
        </w:trPr>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 xml:space="preserve">Opis </w:t>
            </w:r>
            <w:r>
              <w:rPr>
                <w:b/>
                <w:sz w:val="18"/>
              </w:rPr>
              <w:t>stavke</w:t>
            </w:r>
          </w:p>
        </w:tc>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Indeks (%)</w:t>
            </w:r>
          </w:p>
        </w:tc>
      </w:tr>
      <w:tr w:rsidR="00565EAC">
        <w:tblPrEx>
          <w:tblCellMar>
            <w:top w:w="0" w:type="dxa"/>
            <w:bottom w:w="0" w:type="dxa"/>
          </w:tblCellMar>
        </w:tblPrEx>
        <w:trPr>
          <w:cantSplit/>
          <w:trHeight w:val="560"/>
        </w:trPr>
        <w:tc>
          <w:tcPr>
            <w:tcW w:w="700" w:type="dxa"/>
            <w:tcMar>
              <w:top w:w="0" w:type="dxa"/>
              <w:bottom w:w="0" w:type="dxa"/>
            </w:tcMar>
            <w:vAlign w:val="center"/>
          </w:tcPr>
          <w:p w:rsidR="00565EAC" w:rsidRDefault="001F4708">
            <w:pPr>
              <w:keepNext/>
              <w:keepLines/>
              <w:spacing w:after="0" w:line="240" w:lineRule="auto"/>
            </w:pPr>
            <w:r>
              <w:rPr>
                <w:sz w:val="18"/>
              </w:rPr>
              <w:t>3224</w:t>
            </w:r>
          </w:p>
        </w:tc>
        <w:tc>
          <w:tcPr>
            <w:tcW w:w="3180" w:type="dxa"/>
            <w:tcMar>
              <w:top w:w="0" w:type="dxa"/>
              <w:bottom w:w="0" w:type="dxa"/>
            </w:tcMar>
            <w:vAlign w:val="center"/>
          </w:tcPr>
          <w:p w:rsidR="00565EAC" w:rsidRDefault="001F4708">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rsidR="00565EAC" w:rsidRDefault="001F4708">
            <w:pPr>
              <w:keepNext/>
              <w:keepLines/>
              <w:spacing w:after="0" w:line="240" w:lineRule="auto"/>
            </w:pPr>
            <w:r>
              <w:rPr>
                <w:sz w:val="18"/>
              </w:rPr>
              <w:t>3224</w:t>
            </w:r>
          </w:p>
        </w:tc>
        <w:tc>
          <w:tcPr>
            <w:tcW w:w="1860" w:type="dxa"/>
            <w:tcMar>
              <w:top w:w="0" w:type="dxa"/>
              <w:bottom w:w="0" w:type="dxa"/>
            </w:tcMar>
            <w:vAlign w:val="center"/>
          </w:tcPr>
          <w:p w:rsidR="00565EAC" w:rsidRDefault="001F4708">
            <w:pPr>
              <w:keepNext/>
              <w:keepLines/>
              <w:spacing w:after="0" w:line="240" w:lineRule="auto"/>
              <w:jc w:val="right"/>
            </w:pPr>
            <w:r>
              <w:rPr>
                <w:sz w:val="18"/>
              </w:rPr>
              <w:t>14,30</w:t>
            </w:r>
          </w:p>
        </w:tc>
        <w:tc>
          <w:tcPr>
            <w:tcW w:w="1860" w:type="dxa"/>
            <w:tcMar>
              <w:top w:w="0" w:type="dxa"/>
              <w:bottom w:w="0" w:type="dxa"/>
            </w:tcMar>
            <w:vAlign w:val="center"/>
          </w:tcPr>
          <w:p w:rsidR="00565EAC" w:rsidRDefault="001F4708">
            <w:pPr>
              <w:keepNext/>
              <w:keepLines/>
              <w:spacing w:after="0" w:line="240" w:lineRule="auto"/>
              <w:jc w:val="right"/>
            </w:pPr>
            <w:r>
              <w:rPr>
                <w:sz w:val="18"/>
              </w:rPr>
              <w:t>1.733,50</w:t>
            </w:r>
          </w:p>
        </w:tc>
        <w:tc>
          <w:tcPr>
            <w:tcW w:w="700" w:type="dxa"/>
            <w:tcMar>
              <w:top w:w="0" w:type="dxa"/>
              <w:bottom w:w="0" w:type="dxa"/>
            </w:tcMar>
            <w:vAlign w:val="center"/>
          </w:tcPr>
          <w:p w:rsidR="00565EAC" w:rsidRDefault="001F4708">
            <w:pPr>
              <w:keepNext/>
              <w:keepLines/>
              <w:spacing w:after="0" w:line="240" w:lineRule="auto"/>
              <w:jc w:val="right"/>
            </w:pPr>
            <w:r>
              <w:rPr>
                <w:sz w:val="18"/>
              </w:rPr>
              <w:t>&gt;&gt;100</w:t>
            </w:r>
          </w:p>
        </w:tc>
      </w:tr>
    </w:tbl>
    <w:p w:rsidR="00565EAC" w:rsidRDefault="00565EAC">
      <w:pPr>
        <w:spacing w:after="0"/>
      </w:pPr>
    </w:p>
    <w:p w:rsidR="00565EAC" w:rsidRDefault="001F4708">
      <w:r>
        <w:t>Materijal i dijelovi za tekuće i investicijsko održavanje na šifri 3224 ima indeks ostvarenja više od 100 u odnosu na ostvareno u izvještajnom razdoblju prethodne godine.</w:t>
      </w:r>
    </w:p>
    <w:p w:rsidR="00565EAC" w:rsidRDefault="00565EAC"/>
    <w:p w:rsidR="00565EAC" w:rsidRDefault="001F4708">
      <w:pPr>
        <w:keepNext/>
        <w:spacing w:line="240" w:lineRule="auto"/>
        <w:jc w:val="center"/>
      </w:pPr>
      <w:r>
        <w:rPr>
          <w:sz w:val="28"/>
        </w:rPr>
        <w:lastRenderedPageBreak/>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65EAC">
        <w:tblPrEx>
          <w:tblCellMar>
            <w:top w:w="0" w:type="dxa"/>
            <w:bottom w:w="0" w:type="dxa"/>
          </w:tblCellMar>
        </w:tblPrEx>
        <w:trPr>
          <w:cantSplit/>
        </w:trPr>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Ostvareno u izvještajnom razdoblj</w:t>
            </w:r>
            <w:r>
              <w:rPr>
                <w:b/>
                <w:sz w:val="18"/>
              </w:rPr>
              <w:t>u prethodne godine</w:t>
            </w:r>
          </w:p>
        </w:tc>
        <w:tc>
          <w:tcPr>
            <w:tcW w:w="186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Indeks (%)</w:t>
            </w:r>
          </w:p>
        </w:tc>
      </w:tr>
      <w:tr w:rsidR="00565EAC">
        <w:tblPrEx>
          <w:tblCellMar>
            <w:top w:w="0" w:type="dxa"/>
            <w:bottom w:w="0" w:type="dxa"/>
          </w:tblCellMar>
        </w:tblPrEx>
        <w:trPr>
          <w:cantSplit/>
          <w:trHeight w:val="560"/>
        </w:trPr>
        <w:tc>
          <w:tcPr>
            <w:tcW w:w="700" w:type="dxa"/>
            <w:tcMar>
              <w:top w:w="0" w:type="dxa"/>
              <w:bottom w:w="0" w:type="dxa"/>
            </w:tcMar>
            <w:vAlign w:val="center"/>
          </w:tcPr>
          <w:p w:rsidR="00565EAC" w:rsidRDefault="001F4708">
            <w:pPr>
              <w:keepNext/>
              <w:keepLines/>
              <w:spacing w:after="0" w:line="240" w:lineRule="auto"/>
            </w:pPr>
            <w:r>
              <w:rPr>
                <w:sz w:val="18"/>
              </w:rPr>
              <w:t>323</w:t>
            </w:r>
          </w:p>
        </w:tc>
        <w:tc>
          <w:tcPr>
            <w:tcW w:w="3180" w:type="dxa"/>
            <w:tcMar>
              <w:top w:w="0" w:type="dxa"/>
              <w:bottom w:w="0" w:type="dxa"/>
            </w:tcMar>
            <w:vAlign w:val="center"/>
          </w:tcPr>
          <w:p w:rsidR="00565EAC" w:rsidRDefault="001F4708">
            <w:pPr>
              <w:keepNext/>
              <w:keepLines/>
              <w:spacing w:after="0" w:line="240" w:lineRule="auto"/>
            </w:pPr>
            <w:r>
              <w:rPr>
                <w:sz w:val="18"/>
              </w:rPr>
              <w:t>Rashodi za usluge (šifre 3231 do 3239)</w:t>
            </w:r>
          </w:p>
        </w:tc>
        <w:tc>
          <w:tcPr>
            <w:tcW w:w="700" w:type="dxa"/>
            <w:tcMar>
              <w:top w:w="0" w:type="dxa"/>
              <w:bottom w:w="0" w:type="dxa"/>
            </w:tcMar>
            <w:vAlign w:val="center"/>
          </w:tcPr>
          <w:p w:rsidR="00565EAC" w:rsidRDefault="001F4708">
            <w:pPr>
              <w:keepNext/>
              <w:keepLines/>
              <w:spacing w:after="0" w:line="240" w:lineRule="auto"/>
            </w:pPr>
            <w:r>
              <w:rPr>
                <w:sz w:val="18"/>
              </w:rPr>
              <w:t>323</w:t>
            </w:r>
          </w:p>
        </w:tc>
        <w:tc>
          <w:tcPr>
            <w:tcW w:w="1860" w:type="dxa"/>
            <w:tcMar>
              <w:top w:w="0" w:type="dxa"/>
              <w:bottom w:w="0" w:type="dxa"/>
            </w:tcMar>
            <w:vAlign w:val="center"/>
          </w:tcPr>
          <w:p w:rsidR="00565EAC" w:rsidRDefault="001F4708">
            <w:pPr>
              <w:keepNext/>
              <w:keepLines/>
              <w:spacing w:after="0" w:line="240" w:lineRule="auto"/>
              <w:jc w:val="right"/>
            </w:pPr>
            <w:r>
              <w:rPr>
                <w:sz w:val="18"/>
              </w:rPr>
              <w:t>48.398,82</w:t>
            </w:r>
          </w:p>
        </w:tc>
        <w:tc>
          <w:tcPr>
            <w:tcW w:w="1860" w:type="dxa"/>
            <w:tcMar>
              <w:top w:w="0" w:type="dxa"/>
              <w:bottom w:w="0" w:type="dxa"/>
            </w:tcMar>
            <w:vAlign w:val="center"/>
          </w:tcPr>
          <w:p w:rsidR="00565EAC" w:rsidRDefault="001F4708">
            <w:pPr>
              <w:keepNext/>
              <w:keepLines/>
              <w:spacing w:after="0" w:line="240" w:lineRule="auto"/>
              <w:jc w:val="right"/>
            </w:pPr>
            <w:r>
              <w:rPr>
                <w:sz w:val="18"/>
              </w:rPr>
              <w:t>79.470,62</w:t>
            </w:r>
          </w:p>
        </w:tc>
        <w:tc>
          <w:tcPr>
            <w:tcW w:w="700" w:type="dxa"/>
            <w:tcMar>
              <w:top w:w="0" w:type="dxa"/>
              <w:bottom w:w="0" w:type="dxa"/>
            </w:tcMar>
            <w:vAlign w:val="center"/>
          </w:tcPr>
          <w:p w:rsidR="00565EAC" w:rsidRDefault="001F4708">
            <w:pPr>
              <w:keepNext/>
              <w:keepLines/>
              <w:spacing w:after="0" w:line="240" w:lineRule="auto"/>
              <w:jc w:val="right"/>
            </w:pPr>
            <w:r>
              <w:rPr>
                <w:sz w:val="18"/>
              </w:rPr>
              <w:t>164,2</w:t>
            </w:r>
          </w:p>
        </w:tc>
      </w:tr>
    </w:tbl>
    <w:p w:rsidR="00565EAC" w:rsidRDefault="00565EAC">
      <w:pPr>
        <w:spacing w:after="0"/>
      </w:pPr>
    </w:p>
    <w:p w:rsidR="00565EAC" w:rsidRDefault="001F4708">
      <w:r>
        <w:t>Na stavci 323 – Rashodi za usluge ostvaren je indeks od 164,2 u odnosu na isto razdoblje prethodne godine. Povećanje rashoda rezultat je većeg obujma realiziranih usluga u izvještajnom razdoblju, posebice u dijelu Usluge promidžbe i informiranja, komunalne</w:t>
      </w:r>
      <w:r>
        <w:t xml:space="preserve"> usluge, intelektualne i osobne usluge. Dodatno, na povećanje je utjecao rast cijena usluga na tržištu, kao i provedba planiranih aktivnosti i projekata koji u istom razdoblju prethodne godine nisu bili realizirani.</w:t>
      </w:r>
    </w:p>
    <w:p w:rsidR="00565EAC" w:rsidRDefault="00565EAC"/>
    <w:p w:rsidR="00565EAC" w:rsidRDefault="001F4708">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65EAC">
        <w:tblPrEx>
          <w:tblCellMar>
            <w:top w:w="0" w:type="dxa"/>
            <w:bottom w:w="0" w:type="dxa"/>
          </w:tblCellMar>
        </w:tblPrEx>
        <w:trPr>
          <w:cantSplit/>
        </w:trPr>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Opis s</w:t>
            </w:r>
            <w:r>
              <w:rPr>
                <w:b/>
                <w:sz w:val="18"/>
              </w:rPr>
              <w:t>tavke</w:t>
            </w:r>
          </w:p>
        </w:tc>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Indeks (%)</w:t>
            </w:r>
          </w:p>
        </w:tc>
      </w:tr>
      <w:tr w:rsidR="00565EAC">
        <w:tblPrEx>
          <w:tblCellMar>
            <w:top w:w="0" w:type="dxa"/>
            <w:bottom w:w="0" w:type="dxa"/>
          </w:tblCellMar>
        </w:tblPrEx>
        <w:trPr>
          <w:cantSplit/>
          <w:trHeight w:val="560"/>
        </w:trPr>
        <w:tc>
          <w:tcPr>
            <w:tcW w:w="700" w:type="dxa"/>
            <w:tcMar>
              <w:top w:w="0" w:type="dxa"/>
              <w:bottom w:w="0" w:type="dxa"/>
            </w:tcMar>
            <w:vAlign w:val="center"/>
          </w:tcPr>
          <w:p w:rsidR="00565EAC" w:rsidRDefault="001F4708">
            <w:pPr>
              <w:keepNext/>
              <w:keepLines/>
              <w:spacing w:after="0" w:line="240" w:lineRule="auto"/>
            </w:pPr>
            <w:r>
              <w:rPr>
                <w:sz w:val="18"/>
              </w:rPr>
              <w:t>3233</w:t>
            </w:r>
          </w:p>
        </w:tc>
        <w:tc>
          <w:tcPr>
            <w:tcW w:w="3180" w:type="dxa"/>
            <w:tcMar>
              <w:top w:w="0" w:type="dxa"/>
              <w:bottom w:w="0" w:type="dxa"/>
            </w:tcMar>
            <w:vAlign w:val="center"/>
          </w:tcPr>
          <w:p w:rsidR="00565EAC" w:rsidRDefault="001F4708">
            <w:pPr>
              <w:keepNext/>
              <w:keepLines/>
              <w:spacing w:after="0" w:line="240" w:lineRule="auto"/>
            </w:pPr>
            <w:r>
              <w:rPr>
                <w:sz w:val="18"/>
              </w:rPr>
              <w:t>Usluge promidžbe i informiranja</w:t>
            </w:r>
          </w:p>
        </w:tc>
        <w:tc>
          <w:tcPr>
            <w:tcW w:w="700" w:type="dxa"/>
            <w:tcMar>
              <w:top w:w="0" w:type="dxa"/>
              <w:bottom w:w="0" w:type="dxa"/>
            </w:tcMar>
            <w:vAlign w:val="center"/>
          </w:tcPr>
          <w:p w:rsidR="00565EAC" w:rsidRDefault="001F4708">
            <w:pPr>
              <w:keepNext/>
              <w:keepLines/>
              <w:spacing w:after="0" w:line="240" w:lineRule="auto"/>
            </w:pPr>
            <w:r>
              <w:rPr>
                <w:sz w:val="18"/>
              </w:rPr>
              <w:t>3233</w:t>
            </w:r>
          </w:p>
        </w:tc>
        <w:tc>
          <w:tcPr>
            <w:tcW w:w="1860" w:type="dxa"/>
            <w:tcMar>
              <w:top w:w="0" w:type="dxa"/>
              <w:bottom w:w="0" w:type="dxa"/>
            </w:tcMar>
            <w:vAlign w:val="center"/>
          </w:tcPr>
          <w:p w:rsidR="00565EAC" w:rsidRDefault="001F4708">
            <w:pPr>
              <w:keepNext/>
              <w:keepLines/>
              <w:spacing w:after="0" w:line="240" w:lineRule="auto"/>
              <w:jc w:val="right"/>
            </w:pPr>
            <w:r>
              <w:rPr>
                <w:sz w:val="18"/>
              </w:rPr>
              <w:t>1.125,00</w:t>
            </w:r>
          </w:p>
        </w:tc>
        <w:tc>
          <w:tcPr>
            <w:tcW w:w="1860" w:type="dxa"/>
            <w:tcMar>
              <w:top w:w="0" w:type="dxa"/>
              <w:bottom w:w="0" w:type="dxa"/>
            </w:tcMar>
            <w:vAlign w:val="center"/>
          </w:tcPr>
          <w:p w:rsidR="00565EAC" w:rsidRDefault="001F4708">
            <w:pPr>
              <w:keepNext/>
              <w:keepLines/>
              <w:spacing w:after="0" w:line="240" w:lineRule="auto"/>
              <w:jc w:val="right"/>
            </w:pPr>
            <w:r>
              <w:rPr>
                <w:sz w:val="18"/>
              </w:rPr>
              <w:t>2.218,75</w:t>
            </w:r>
          </w:p>
        </w:tc>
        <w:tc>
          <w:tcPr>
            <w:tcW w:w="700" w:type="dxa"/>
            <w:tcMar>
              <w:top w:w="0" w:type="dxa"/>
              <w:bottom w:w="0" w:type="dxa"/>
            </w:tcMar>
            <w:vAlign w:val="center"/>
          </w:tcPr>
          <w:p w:rsidR="00565EAC" w:rsidRDefault="001F4708">
            <w:pPr>
              <w:keepNext/>
              <w:keepLines/>
              <w:spacing w:after="0" w:line="240" w:lineRule="auto"/>
              <w:jc w:val="right"/>
            </w:pPr>
            <w:r>
              <w:rPr>
                <w:sz w:val="18"/>
              </w:rPr>
              <w:t>197,2</w:t>
            </w:r>
          </w:p>
        </w:tc>
      </w:tr>
    </w:tbl>
    <w:p w:rsidR="00565EAC" w:rsidRDefault="00565EAC">
      <w:pPr>
        <w:spacing w:after="0"/>
      </w:pPr>
    </w:p>
    <w:p w:rsidR="00565EAC" w:rsidRDefault="001F4708">
      <w:r>
        <w:t>Na šifri 3233 – Usluge promidžbe i informiranja ostvaren je indeks od 197,2 u odnosu na isto razdoblje prethodne godine. Povećanje rashoda rezultat je većeg obujma realiziranih usluga u izvještajnom razdoblju.</w:t>
      </w:r>
    </w:p>
    <w:p w:rsidR="00565EAC" w:rsidRDefault="00565EAC"/>
    <w:p w:rsidR="00565EAC" w:rsidRDefault="001F4708">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65EAC">
        <w:tblPrEx>
          <w:tblCellMar>
            <w:top w:w="0" w:type="dxa"/>
            <w:bottom w:w="0" w:type="dxa"/>
          </w:tblCellMar>
        </w:tblPrEx>
        <w:trPr>
          <w:cantSplit/>
        </w:trPr>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Indeks (%)</w:t>
            </w:r>
          </w:p>
        </w:tc>
      </w:tr>
      <w:tr w:rsidR="00565EAC">
        <w:tblPrEx>
          <w:tblCellMar>
            <w:top w:w="0" w:type="dxa"/>
            <w:bottom w:w="0" w:type="dxa"/>
          </w:tblCellMar>
        </w:tblPrEx>
        <w:trPr>
          <w:cantSplit/>
          <w:trHeight w:val="560"/>
        </w:trPr>
        <w:tc>
          <w:tcPr>
            <w:tcW w:w="700" w:type="dxa"/>
            <w:tcMar>
              <w:top w:w="0" w:type="dxa"/>
              <w:bottom w:w="0" w:type="dxa"/>
            </w:tcMar>
            <w:vAlign w:val="center"/>
          </w:tcPr>
          <w:p w:rsidR="00565EAC" w:rsidRDefault="001F4708">
            <w:pPr>
              <w:keepNext/>
              <w:keepLines/>
              <w:spacing w:after="0" w:line="240" w:lineRule="auto"/>
            </w:pPr>
            <w:r>
              <w:rPr>
                <w:sz w:val="18"/>
              </w:rPr>
              <w:t>3237</w:t>
            </w:r>
          </w:p>
        </w:tc>
        <w:tc>
          <w:tcPr>
            <w:tcW w:w="3180" w:type="dxa"/>
            <w:tcMar>
              <w:top w:w="0" w:type="dxa"/>
              <w:bottom w:w="0" w:type="dxa"/>
            </w:tcMar>
            <w:vAlign w:val="center"/>
          </w:tcPr>
          <w:p w:rsidR="00565EAC" w:rsidRDefault="001F4708">
            <w:pPr>
              <w:keepNext/>
              <w:keepLines/>
              <w:spacing w:after="0" w:line="240" w:lineRule="auto"/>
            </w:pPr>
            <w:r>
              <w:rPr>
                <w:sz w:val="18"/>
              </w:rPr>
              <w:t>Intelektualne i osobne usluge</w:t>
            </w:r>
          </w:p>
        </w:tc>
        <w:tc>
          <w:tcPr>
            <w:tcW w:w="700" w:type="dxa"/>
            <w:tcMar>
              <w:top w:w="0" w:type="dxa"/>
              <w:bottom w:w="0" w:type="dxa"/>
            </w:tcMar>
            <w:vAlign w:val="center"/>
          </w:tcPr>
          <w:p w:rsidR="00565EAC" w:rsidRDefault="001F4708">
            <w:pPr>
              <w:keepNext/>
              <w:keepLines/>
              <w:spacing w:after="0" w:line="240" w:lineRule="auto"/>
            </w:pPr>
            <w:r>
              <w:rPr>
                <w:sz w:val="18"/>
              </w:rPr>
              <w:t>3237</w:t>
            </w:r>
          </w:p>
        </w:tc>
        <w:tc>
          <w:tcPr>
            <w:tcW w:w="1860" w:type="dxa"/>
            <w:tcMar>
              <w:top w:w="0" w:type="dxa"/>
              <w:bottom w:w="0" w:type="dxa"/>
            </w:tcMar>
            <w:vAlign w:val="center"/>
          </w:tcPr>
          <w:p w:rsidR="00565EAC" w:rsidRDefault="001F4708">
            <w:pPr>
              <w:keepNext/>
              <w:keepLines/>
              <w:spacing w:after="0" w:line="240" w:lineRule="auto"/>
              <w:jc w:val="right"/>
            </w:pPr>
            <w:r>
              <w:rPr>
                <w:sz w:val="18"/>
              </w:rPr>
              <w:t>12.030,51</w:t>
            </w:r>
          </w:p>
        </w:tc>
        <w:tc>
          <w:tcPr>
            <w:tcW w:w="1860" w:type="dxa"/>
            <w:tcMar>
              <w:top w:w="0" w:type="dxa"/>
              <w:bottom w:w="0" w:type="dxa"/>
            </w:tcMar>
            <w:vAlign w:val="center"/>
          </w:tcPr>
          <w:p w:rsidR="00565EAC" w:rsidRDefault="001F4708">
            <w:pPr>
              <w:keepNext/>
              <w:keepLines/>
              <w:spacing w:after="0" w:line="240" w:lineRule="auto"/>
              <w:jc w:val="right"/>
            </w:pPr>
            <w:r>
              <w:rPr>
                <w:sz w:val="18"/>
              </w:rPr>
              <w:t>39.326,33</w:t>
            </w:r>
          </w:p>
        </w:tc>
        <w:tc>
          <w:tcPr>
            <w:tcW w:w="700" w:type="dxa"/>
            <w:tcMar>
              <w:top w:w="0" w:type="dxa"/>
              <w:bottom w:w="0" w:type="dxa"/>
            </w:tcMar>
            <w:vAlign w:val="center"/>
          </w:tcPr>
          <w:p w:rsidR="00565EAC" w:rsidRDefault="001F4708">
            <w:pPr>
              <w:keepNext/>
              <w:keepLines/>
              <w:spacing w:after="0" w:line="240" w:lineRule="auto"/>
              <w:jc w:val="right"/>
            </w:pPr>
            <w:r>
              <w:rPr>
                <w:sz w:val="18"/>
              </w:rPr>
              <w:t>326,9</w:t>
            </w:r>
          </w:p>
        </w:tc>
      </w:tr>
    </w:tbl>
    <w:p w:rsidR="00565EAC" w:rsidRDefault="00565EAC">
      <w:pPr>
        <w:spacing w:after="0"/>
      </w:pPr>
    </w:p>
    <w:p w:rsidR="00565EAC" w:rsidRDefault="001F4708">
      <w:r>
        <w:t>Intelektualne i osobne usluge povećane su za 326,9% u odnosu na prethodno razdoblje, što je rezultat angažiranja vanjskih izvršitelja za provedbu postupaka javne nabave te obavljanje stručnog nadzora.</w:t>
      </w:r>
    </w:p>
    <w:p w:rsidR="00565EAC" w:rsidRDefault="00565EAC"/>
    <w:p w:rsidR="00565EAC" w:rsidRDefault="001F4708">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65EAC">
        <w:tblPrEx>
          <w:tblCellMar>
            <w:top w:w="0" w:type="dxa"/>
            <w:bottom w:w="0" w:type="dxa"/>
          </w:tblCellMar>
        </w:tblPrEx>
        <w:trPr>
          <w:cantSplit/>
        </w:trPr>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Ost</w:t>
            </w:r>
            <w:r>
              <w:rPr>
                <w:b/>
                <w:sz w:val="18"/>
              </w:rPr>
              <w:t>vareno u izvještajnom razdoblju prethodne godine</w:t>
            </w:r>
          </w:p>
        </w:tc>
        <w:tc>
          <w:tcPr>
            <w:tcW w:w="186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Indeks (%)</w:t>
            </w:r>
          </w:p>
        </w:tc>
      </w:tr>
      <w:tr w:rsidR="00565EAC">
        <w:tblPrEx>
          <w:tblCellMar>
            <w:top w:w="0" w:type="dxa"/>
            <w:bottom w:w="0" w:type="dxa"/>
          </w:tblCellMar>
        </w:tblPrEx>
        <w:trPr>
          <w:cantSplit/>
          <w:trHeight w:val="560"/>
        </w:trPr>
        <w:tc>
          <w:tcPr>
            <w:tcW w:w="700" w:type="dxa"/>
            <w:tcMar>
              <w:top w:w="0" w:type="dxa"/>
              <w:bottom w:w="0" w:type="dxa"/>
            </w:tcMar>
            <w:vAlign w:val="center"/>
          </w:tcPr>
          <w:p w:rsidR="00565EAC" w:rsidRDefault="001F4708">
            <w:pPr>
              <w:keepNext/>
              <w:keepLines/>
              <w:spacing w:after="0" w:line="240" w:lineRule="auto"/>
            </w:pPr>
            <w:r>
              <w:rPr>
                <w:sz w:val="18"/>
              </w:rPr>
              <w:t>3291</w:t>
            </w:r>
          </w:p>
        </w:tc>
        <w:tc>
          <w:tcPr>
            <w:tcW w:w="3180" w:type="dxa"/>
            <w:tcMar>
              <w:top w:w="0" w:type="dxa"/>
              <w:bottom w:w="0" w:type="dxa"/>
            </w:tcMar>
            <w:vAlign w:val="center"/>
          </w:tcPr>
          <w:p w:rsidR="00565EAC" w:rsidRDefault="001F4708">
            <w:pPr>
              <w:keepNext/>
              <w:keepLines/>
              <w:spacing w:after="0" w:line="240" w:lineRule="auto"/>
            </w:pPr>
            <w:r>
              <w:rPr>
                <w:sz w:val="18"/>
              </w:rPr>
              <w:t>Naknade za rad predstavničkih i izvršnih tijela, povjerenstava i slično</w:t>
            </w:r>
          </w:p>
        </w:tc>
        <w:tc>
          <w:tcPr>
            <w:tcW w:w="700" w:type="dxa"/>
            <w:tcMar>
              <w:top w:w="0" w:type="dxa"/>
              <w:bottom w:w="0" w:type="dxa"/>
            </w:tcMar>
            <w:vAlign w:val="center"/>
          </w:tcPr>
          <w:p w:rsidR="00565EAC" w:rsidRDefault="001F4708">
            <w:pPr>
              <w:keepNext/>
              <w:keepLines/>
              <w:spacing w:after="0" w:line="240" w:lineRule="auto"/>
            </w:pPr>
            <w:r>
              <w:rPr>
                <w:sz w:val="18"/>
              </w:rPr>
              <w:t>3291</w:t>
            </w:r>
          </w:p>
        </w:tc>
        <w:tc>
          <w:tcPr>
            <w:tcW w:w="1860" w:type="dxa"/>
            <w:tcMar>
              <w:top w:w="0" w:type="dxa"/>
              <w:bottom w:w="0" w:type="dxa"/>
            </w:tcMar>
            <w:vAlign w:val="center"/>
          </w:tcPr>
          <w:p w:rsidR="00565EAC" w:rsidRDefault="001F4708">
            <w:pPr>
              <w:keepNext/>
              <w:keepLines/>
              <w:spacing w:after="0" w:line="240" w:lineRule="auto"/>
              <w:jc w:val="right"/>
            </w:pPr>
            <w:r>
              <w:rPr>
                <w:sz w:val="18"/>
              </w:rPr>
              <w:t>198,17</w:t>
            </w:r>
          </w:p>
        </w:tc>
        <w:tc>
          <w:tcPr>
            <w:tcW w:w="1860" w:type="dxa"/>
            <w:tcMar>
              <w:top w:w="0" w:type="dxa"/>
              <w:bottom w:w="0" w:type="dxa"/>
            </w:tcMar>
            <w:vAlign w:val="center"/>
          </w:tcPr>
          <w:p w:rsidR="00565EAC" w:rsidRDefault="001F4708">
            <w:pPr>
              <w:keepNext/>
              <w:keepLines/>
              <w:spacing w:after="0" w:line="240" w:lineRule="auto"/>
              <w:jc w:val="right"/>
            </w:pPr>
            <w:r>
              <w:rPr>
                <w:sz w:val="18"/>
              </w:rPr>
              <w:t>2.898,21</w:t>
            </w:r>
          </w:p>
        </w:tc>
        <w:tc>
          <w:tcPr>
            <w:tcW w:w="700" w:type="dxa"/>
            <w:tcMar>
              <w:top w:w="0" w:type="dxa"/>
              <w:bottom w:w="0" w:type="dxa"/>
            </w:tcMar>
            <w:vAlign w:val="center"/>
          </w:tcPr>
          <w:p w:rsidR="00565EAC" w:rsidRDefault="001F4708">
            <w:pPr>
              <w:keepNext/>
              <w:keepLines/>
              <w:spacing w:after="0" w:line="240" w:lineRule="auto"/>
              <w:jc w:val="right"/>
            </w:pPr>
            <w:r>
              <w:rPr>
                <w:sz w:val="18"/>
              </w:rPr>
              <w:t>1462,5</w:t>
            </w:r>
          </w:p>
        </w:tc>
      </w:tr>
    </w:tbl>
    <w:p w:rsidR="00565EAC" w:rsidRDefault="00565EAC">
      <w:pPr>
        <w:spacing w:after="0"/>
      </w:pPr>
    </w:p>
    <w:p w:rsidR="00565EAC" w:rsidRDefault="001F4708">
      <w:r>
        <w:lastRenderedPageBreak/>
        <w:t>Naknade za rad predstavničkih i izvršnih tijela, povjerenstava i slično povećane su za 1.462,5 u odnosu na prethodno razdoblje zbog uvođenja isplate naknada za vijećnike od prošle godine.</w:t>
      </w:r>
    </w:p>
    <w:p w:rsidR="00565EAC" w:rsidRDefault="00565EAC"/>
    <w:p w:rsidR="00565EAC" w:rsidRDefault="001F4708">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65EAC">
        <w:tblPrEx>
          <w:tblCellMar>
            <w:top w:w="0" w:type="dxa"/>
            <w:bottom w:w="0" w:type="dxa"/>
          </w:tblCellMar>
        </w:tblPrEx>
        <w:trPr>
          <w:cantSplit/>
        </w:trPr>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Ostvareno u izvj</w:t>
            </w:r>
            <w:r>
              <w:rPr>
                <w:b/>
                <w:sz w:val="18"/>
              </w:rPr>
              <w:t>eštajnom razdoblju prethodne godine</w:t>
            </w:r>
          </w:p>
        </w:tc>
        <w:tc>
          <w:tcPr>
            <w:tcW w:w="186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Indeks (%)</w:t>
            </w:r>
          </w:p>
        </w:tc>
      </w:tr>
      <w:tr w:rsidR="00565EAC">
        <w:tblPrEx>
          <w:tblCellMar>
            <w:top w:w="0" w:type="dxa"/>
            <w:bottom w:w="0" w:type="dxa"/>
          </w:tblCellMar>
        </w:tblPrEx>
        <w:trPr>
          <w:cantSplit/>
          <w:trHeight w:val="560"/>
        </w:trPr>
        <w:tc>
          <w:tcPr>
            <w:tcW w:w="700" w:type="dxa"/>
            <w:tcMar>
              <w:top w:w="0" w:type="dxa"/>
              <w:bottom w:w="0" w:type="dxa"/>
            </w:tcMar>
            <w:vAlign w:val="center"/>
          </w:tcPr>
          <w:p w:rsidR="00565EAC" w:rsidRDefault="001F4708">
            <w:pPr>
              <w:keepNext/>
              <w:keepLines/>
              <w:spacing w:after="0" w:line="240" w:lineRule="auto"/>
            </w:pPr>
            <w:r>
              <w:rPr>
                <w:sz w:val="18"/>
              </w:rPr>
              <w:t>3299</w:t>
            </w:r>
          </w:p>
        </w:tc>
        <w:tc>
          <w:tcPr>
            <w:tcW w:w="3180" w:type="dxa"/>
            <w:tcMar>
              <w:top w:w="0" w:type="dxa"/>
              <w:bottom w:w="0" w:type="dxa"/>
            </w:tcMar>
            <w:vAlign w:val="center"/>
          </w:tcPr>
          <w:p w:rsidR="00565EAC" w:rsidRDefault="001F4708">
            <w:pPr>
              <w:keepNext/>
              <w:keepLines/>
              <w:spacing w:after="0" w:line="240" w:lineRule="auto"/>
            </w:pPr>
            <w:r>
              <w:rPr>
                <w:sz w:val="18"/>
              </w:rPr>
              <w:t>Ostali nespomenuti rashodi poslovanja</w:t>
            </w:r>
          </w:p>
        </w:tc>
        <w:tc>
          <w:tcPr>
            <w:tcW w:w="700" w:type="dxa"/>
            <w:tcMar>
              <w:top w:w="0" w:type="dxa"/>
              <w:bottom w:w="0" w:type="dxa"/>
            </w:tcMar>
            <w:vAlign w:val="center"/>
          </w:tcPr>
          <w:p w:rsidR="00565EAC" w:rsidRDefault="001F4708">
            <w:pPr>
              <w:keepNext/>
              <w:keepLines/>
              <w:spacing w:after="0" w:line="240" w:lineRule="auto"/>
            </w:pPr>
            <w:r>
              <w:rPr>
                <w:sz w:val="18"/>
              </w:rPr>
              <w:t>3299</w:t>
            </w:r>
          </w:p>
        </w:tc>
        <w:tc>
          <w:tcPr>
            <w:tcW w:w="1860" w:type="dxa"/>
            <w:tcMar>
              <w:top w:w="0" w:type="dxa"/>
              <w:bottom w:w="0" w:type="dxa"/>
            </w:tcMar>
            <w:vAlign w:val="center"/>
          </w:tcPr>
          <w:p w:rsidR="00565EAC" w:rsidRDefault="001F4708">
            <w:pPr>
              <w:keepNext/>
              <w:keepLines/>
              <w:spacing w:after="0" w:line="240" w:lineRule="auto"/>
              <w:jc w:val="right"/>
            </w:pPr>
            <w:r>
              <w:rPr>
                <w:sz w:val="18"/>
              </w:rPr>
              <w:t>2.833,31</w:t>
            </w:r>
          </w:p>
        </w:tc>
        <w:tc>
          <w:tcPr>
            <w:tcW w:w="1860" w:type="dxa"/>
            <w:tcMar>
              <w:top w:w="0" w:type="dxa"/>
              <w:bottom w:w="0" w:type="dxa"/>
            </w:tcMar>
            <w:vAlign w:val="center"/>
          </w:tcPr>
          <w:p w:rsidR="00565EAC" w:rsidRDefault="001F4708">
            <w:pPr>
              <w:keepNext/>
              <w:keepLines/>
              <w:spacing w:after="0" w:line="240" w:lineRule="auto"/>
              <w:jc w:val="right"/>
            </w:pPr>
            <w:r>
              <w:rPr>
                <w:sz w:val="18"/>
              </w:rPr>
              <w:t>42.020,97</w:t>
            </w:r>
          </w:p>
        </w:tc>
        <w:tc>
          <w:tcPr>
            <w:tcW w:w="700" w:type="dxa"/>
            <w:tcMar>
              <w:top w:w="0" w:type="dxa"/>
              <w:bottom w:w="0" w:type="dxa"/>
            </w:tcMar>
            <w:vAlign w:val="center"/>
          </w:tcPr>
          <w:p w:rsidR="00565EAC" w:rsidRDefault="001F4708">
            <w:pPr>
              <w:keepNext/>
              <w:keepLines/>
              <w:spacing w:after="0" w:line="240" w:lineRule="auto"/>
              <w:jc w:val="right"/>
            </w:pPr>
            <w:r>
              <w:rPr>
                <w:sz w:val="18"/>
              </w:rPr>
              <w:t>1483,1</w:t>
            </w:r>
          </w:p>
        </w:tc>
      </w:tr>
    </w:tbl>
    <w:p w:rsidR="00565EAC" w:rsidRDefault="00565EAC">
      <w:pPr>
        <w:spacing w:after="0"/>
      </w:pPr>
    </w:p>
    <w:p w:rsidR="00565EAC" w:rsidRDefault="001F4708">
      <w:r>
        <w:t>Na šifri 3299 Ostali nespomenuti rashodi poslovanja bilježe veći indeks ostvarenja 1483,1 jer su tijekom prva tri mjeseca 2026. godine izvršeni povrati jamstva iz 2024. godine, te povrati APPRRR-u za projekt izgradnje Kulturnog centra.</w:t>
      </w:r>
    </w:p>
    <w:p w:rsidR="00565EAC" w:rsidRDefault="00565EAC"/>
    <w:p w:rsidR="00565EAC" w:rsidRDefault="001F4708">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65EAC">
        <w:tblPrEx>
          <w:tblCellMar>
            <w:top w:w="0" w:type="dxa"/>
            <w:bottom w:w="0" w:type="dxa"/>
          </w:tblCellMar>
        </w:tblPrEx>
        <w:trPr>
          <w:cantSplit/>
        </w:trPr>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 xml:space="preserve">Račun </w:t>
            </w:r>
            <w:r>
              <w:rPr>
                <w:b/>
                <w:sz w:val="18"/>
              </w:rPr>
              <w:t xml:space="preserve">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Indeks (%)</w:t>
            </w:r>
          </w:p>
        </w:tc>
      </w:tr>
      <w:tr w:rsidR="00565EAC">
        <w:tblPrEx>
          <w:tblCellMar>
            <w:top w:w="0" w:type="dxa"/>
            <w:bottom w:w="0" w:type="dxa"/>
          </w:tblCellMar>
        </w:tblPrEx>
        <w:trPr>
          <w:cantSplit/>
          <w:trHeight w:val="560"/>
        </w:trPr>
        <w:tc>
          <w:tcPr>
            <w:tcW w:w="700" w:type="dxa"/>
            <w:tcMar>
              <w:top w:w="0" w:type="dxa"/>
              <w:bottom w:w="0" w:type="dxa"/>
            </w:tcMar>
            <w:vAlign w:val="center"/>
          </w:tcPr>
          <w:p w:rsidR="00565EAC" w:rsidRDefault="001F4708">
            <w:pPr>
              <w:keepNext/>
              <w:keepLines/>
              <w:spacing w:after="0" w:line="240" w:lineRule="auto"/>
            </w:pPr>
            <w:r>
              <w:rPr>
                <w:sz w:val="18"/>
              </w:rPr>
              <w:t>34</w:t>
            </w:r>
          </w:p>
        </w:tc>
        <w:tc>
          <w:tcPr>
            <w:tcW w:w="3180" w:type="dxa"/>
            <w:tcMar>
              <w:top w:w="0" w:type="dxa"/>
              <w:bottom w:w="0" w:type="dxa"/>
            </w:tcMar>
            <w:vAlign w:val="center"/>
          </w:tcPr>
          <w:p w:rsidR="00565EAC" w:rsidRDefault="001F4708">
            <w:pPr>
              <w:keepNext/>
              <w:keepLines/>
              <w:spacing w:after="0" w:line="240" w:lineRule="auto"/>
            </w:pPr>
            <w:r>
              <w:rPr>
                <w:sz w:val="18"/>
              </w:rPr>
              <w:t>Financijski rashodi (šifre 341+342+343)</w:t>
            </w:r>
          </w:p>
        </w:tc>
        <w:tc>
          <w:tcPr>
            <w:tcW w:w="700" w:type="dxa"/>
            <w:tcMar>
              <w:top w:w="0" w:type="dxa"/>
              <w:bottom w:w="0" w:type="dxa"/>
            </w:tcMar>
            <w:vAlign w:val="center"/>
          </w:tcPr>
          <w:p w:rsidR="00565EAC" w:rsidRDefault="001F4708">
            <w:pPr>
              <w:keepNext/>
              <w:keepLines/>
              <w:spacing w:after="0" w:line="240" w:lineRule="auto"/>
            </w:pPr>
            <w:r>
              <w:rPr>
                <w:sz w:val="18"/>
              </w:rPr>
              <w:t>34</w:t>
            </w:r>
          </w:p>
        </w:tc>
        <w:tc>
          <w:tcPr>
            <w:tcW w:w="1860" w:type="dxa"/>
            <w:tcMar>
              <w:top w:w="0" w:type="dxa"/>
              <w:bottom w:w="0" w:type="dxa"/>
            </w:tcMar>
            <w:vAlign w:val="center"/>
          </w:tcPr>
          <w:p w:rsidR="00565EAC" w:rsidRDefault="001F4708">
            <w:pPr>
              <w:keepNext/>
              <w:keepLines/>
              <w:spacing w:after="0" w:line="240" w:lineRule="auto"/>
              <w:jc w:val="right"/>
            </w:pPr>
            <w:r>
              <w:rPr>
                <w:sz w:val="18"/>
              </w:rPr>
              <w:t>513,76</w:t>
            </w:r>
          </w:p>
        </w:tc>
        <w:tc>
          <w:tcPr>
            <w:tcW w:w="1860" w:type="dxa"/>
            <w:tcMar>
              <w:top w:w="0" w:type="dxa"/>
              <w:bottom w:w="0" w:type="dxa"/>
            </w:tcMar>
            <w:vAlign w:val="center"/>
          </w:tcPr>
          <w:p w:rsidR="00565EAC" w:rsidRDefault="001F4708">
            <w:pPr>
              <w:keepNext/>
              <w:keepLines/>
              <w:spacing w:after="0" w:line="240" w:lineRule="auto"/>
              <w:jc w:val="right"/>
            </w:pPr>
            <w:r>
              <w:rPr>
                <w:sz w:val="18"/>
              </w:rPr>
              <w:t>22.781,08</w:t>
            </w:r>
          </w:p>
        </w:tc>
        <w:tc>
          <w:tcPr>
            <w:tcW w:w="700" w:type="dxa"/>
            <w:tcMar>
              <w:top w:w="0" w:type="dxa"/>
              <w:bottom w:w="0" w:type="dxa"/>
            </w:tcMar>
            <w:vAlign w:val="center"/>
          </w:tcPr>
          <w:p w:rsidR="00565EAC" w:rsidRDefault="001F4708">
            <w:pPr>
              <w:keepNext/>
              <w:keepLines/>
              <w:spacing w:after="0" w:line="240" w:lineRule="auto"/>
              <w:jc w:val="right"/>
            </w:pPr>
            <w:r>
              <w:rPr>
                <w:sz w:val="18"/>
              </w:rPr>
              <w:t>4434,2</w:t>
            </w:r>
          </w:p>
        </w:tc>
      </w:tr>
    </w:tbl>
    <w:p w:rsidR="00565EAC" w:rsidRDefault="00565EAC">
      <w:pPr>
        <w:spacing w:after="0"/>
      </w:pPr>
    </w:p>
    <w:p w:rsidR="00565EAC" w:rsidRDefault="001F4708">
      <w:r>
        <w:t>Povećanje u odnosu na prethodnu godinu  se odnosi na troška obrade kratkoročnog zajma te kamata po istom.</w:t>
      </w:r>
    </w:p>
    <w:p w:rsidR="00565EAC" w:rsidRDefault="00565EAC"/>
    <w:p w:rsidR="00565EAC" w:rsidRDefault="001F4708">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65EAC">
        <w:tblPrEx>
          <w:tblCellMar>
            <w:top w:w="0" w:type="dxa"/>
            <w:bottom w:w="0" w:type="dxa"/>
          </w:tblCellMar>
        </w:tblPrEx>
        <w:trPr>
          <w:cantSplit/>
        </w:trPr>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Ostvareno u izvještajnom razdoblju tekuće godi</w:t>
            </w:r>
            <w:r>
              <w:rPr>
                <w:b/>
                <w:sz w:val="18"/>
              </w:rPr>
              <w:t>ne</w:t>
            </w:r>
          </w:p>
        </w:tc>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Indeks (%)</w:t>
            </w:r>
          </w:p>
        </w:tc>
      </w:tr>
      <w:tr w:rsidR="00565EAC">
        <w:tblPrEx>
          <w:tblCellMar>
            <w:top w:w="0" w:type="dxa"/>
            <w:bottom w:w="0" w:type="dxa"/>
          </w:tblCellMar>
        </w:tblPrEx>
        <w:trPr>
          <w:cantSplit/>
          <w:trHeight w:val="560"/>
        </w:trPr>
        <w:tc>
          <w:tcPr>
            <w:tcW w:w="700" w:type="dxa"/>
            <w:tcMar>
              <w:top w:w="0" w:type="dxa"/>
              <w:bottom w:w="0" w:type="dxa"/>
            </w:tcMar>
            <w:vAlign w:val="center"/>
          </w:tcPr>
          <w:p w:rsidR="00565EAC" w:rsidRDefault="001F4708">
            <w:pPr>
              <w:keepNext/>
              <w:keepLines/>
              <w:spacing w:after="0" w:line="240" w:lineRule="auto"/>
            </w:pPr>
            <w:r>
              <w:rPr>
                <w:sz w:val="18"/>
              </w:rPr>
              <w:t>37</w:t>
            </w:r>
          </w:p>
        </w:tc>
        <w:tc>
          <w:tcPr>
            <w:tcW w:w="3180" w:type="dxa"/>
            <w:tcMar>
              <w:top w:w="0" w:type="dxa"/>
              <w:bottom w:w="0" w:type="dxa"/>
            </w:tcMar>
            <w:vAlign w:val="center"/>
          </w:tcPr>
          <w:p w:rsidR="00565EAC" w:rsidRDefault="001F4708">
            <w:pPr>
              <w:keepNext/>
              <w:keepLines/>
              <w:spacing w:after="0" w:line="240" w:lineRule="auto"/>
            </w:pPr>
            <w:r>
              <w:rPr>
                <w:sz w:val="18"/>
              </w:rPr>
              <w:t>Naknade građanima i kućanstvima na temelju osiguranja i druge naknade (šifre 371+372)</w:t>
            </w:r>
          </w:p>
        </w:tc>
        <w:tc>
          <w:tcPr>
            <w:tcW w:w="700" w:type="dxa"/>
            <w:tcMar>
              <w:top w:w="0" w:type="dxa"/>
              <w:bottom w:w="0" w:type="dxa"/>
            </w:tcMar>
            <w:vAlign w:val="center"/>
          </w:tcPr>
          <w:p w:rsidR="00565EAC" w:rsidRDefault="001F4708">
            <w:pPr>
              <w:keepNext/>
              <w:keepLines/>
              <w:spacing w:after="0" w:line="240" w:lineRule="auto"/>
            </w:pPr>
            <w:r>
              <w:rPr>
                <w:sz w:val="18"/>
              </w:rPr>
              <w:t>37</w:t>
            </w:r>
          </w:p>
        </w:tc>
        <w:tc>
          <w:tcPr>
            <w:tcW w:w="1860" w:type="dxa"/>
            <w:tcMar>
              <w:top w:w="0" w:type="dxa"/>
              <w:bottom w:w="0" w:type="dxa"/>
            </w:tcMar>
            <w:vAlign w:val="center"/>
          </w:tcPr>
          <w:p w:rsidR="00565EAC" w:rsidRDefault="001F4708">
            <w:pPr>
              <w:keepNext/>
              <w:keepLines/>
              <w:spacing w:after="0" w:line="240" w:lineRule="auto"/>
              <w:jc w:val="right"/>
            </w:pPr>
            <w:r>
              <w:rPr>
                <w:sz w:val="18"/>
              </w:rPr>
              <w:t>73.040,04</w:t>
            </w:r>
          </w:p>
        </w:tc>
        <w:tc>
          <w:tcPr>
            <w:tcW w:w="1860" w:type="dxa"/>
            <w:tcMar>
              <w:top w:w="0" w:type="dxa"/>
              <w:bottom w:w="0" w:type="dxa"/>
            </w:tcMar>
            <w:vAlign w:val="center"/>
          </w:tcPr>
          <w:p w:rsidR="00565EAC" w:rsidRDefault="001F4708">
            <w:pPr>
              <w:keepNext/>
              <w:keepLines/>
              <w:spacing w:after="0" w:line="240" w:lineRule="auto"/>
              <w:jc w:val="right"/>
            </w:pPr>
            <w:r>
              <w:rPr>
                <w:sz w:val="18"/>
              </w:rPr>
              <w:t>74.832,64</w:t>
            </w:r>
          </w:p>
        </w:tc>
        <w:tc>
          <w:tcPr>
            <w:tcW w:w="700" w:type="dxa"/>
            <w:tcMar>
              <w:top w:w="0" w:type="dxa"/>
              <w:bottom w:w="0" w:type="dxa"/>
            </w:tcMar>
            <w:vAlign w:val="center"/>
          </w:tcPr>
          <w:p w:rsidR="00565EAC" w:rsidRDefault="001F4708">
            <w:pPr>
              <w:keepNext/>
              <w:keepLines/>
              <w:spacing w:after="0" w:line="240" w:lineRule="auto"/>
              <w:jc w:val="right"/>
            </w:pPr>
            <w:r>
              <w:rPr>
                <w:sz w:val="18"/>
              </w:rPr>
              <w:t>102,5</w:t>
            </w:r>
          </w:p>
        </w:tc>
      </w:tr>
    </w:tbl>
    <w:p w:rsidR="00565EAC" w:rsidRDefault="00565EAC">
      <w:pPr>
        <w:spacing w:after="0"/>
      </w:pPr>
    </w:p>
    <w:p w:rsidR="00565EAC" w:rsidRDefault="001F4708">
      <w:r>
        <w:t>Naknade građanima i kućanstvima na temelju osiguranja i druge naknade bilježe rast indeksa 102,5 u odnosu na ostvareno u izvještajnom razdoblju prethodne godine.</w:t>
      </w:r>
    </w:p>
    <w:p w:rsidR="00565EAC" w:rsidRDefault="00565EAC"/>
    <w:p w:rsidR="00565EAC" w:rsidRDefault="001F4708">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65EAC">
        <w:tblPrEx>
          <w:tblCellMar>
            <w:top w:w="0" w:type="dxa"/>
            <w:bottom w:w="0" w:type="dxa"/>
          </w:tblCellMar>
        </w:tblPrEx>
        <w:trPr>
          <w:cantSplit/>
        </w:trPr>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Ostvareno u izvještajnom razdoblju prethod</w:t>
            </w:r>
            <w:r>
              <w:rPr>
                <w:b/>
                <w:sz w:val="18"/>
              </w:rPr>
              <w:t>ne godine</w:t>
            </w:r>
          </w:p>
        </w:tc>
        <w:tc>
          <w:tcPr>
            <w:tcW w:w="186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Indeks (%)</w:t>
            </w:r>
          </w:p>
        </w:tc>
      </w:tr>
      <w:tr w:rsidR="00565EAC">
        <w:tblPrEx>
          <w:tblCellMar>
            <w:top w:w="0" w:type="dxa"/>
            <w:bottom w:w="0" w:type="dxa"/>
          </w:tblCellMar>
        </w:tblPrEx>
        <w:trPr>
          <w:cantSplit/>
          <w:trHeight w:val="560"/>
        </w:trPr>
        <w:tc>
          <w:tcPr>
            <w:tcW w:w="700" w:type="dxa"/>
            <w:tcMar>
              <w:top w:w="0" w:type="dxa"/>
              <w:bottom w:w="0" w:type="dxa"/>
            </w:tcMar>
            <w:vAlign w:val="center"/>
          </w:tcPr>
          <w:p w:rsidR="00565EAC" w:rsidRDefault="001F4708">
            <w:pPr>
              <w:keepNext/>
              <w:keepLines/>
              <w:spacing w:after="0" w:line="240" w:lineRule="auto"/>
            </w:pPr>
            <w:r>
              <w:rPr>
                <w:sz w:val="18"/>
              </w:rPr>
              <w:t>382</w:t>
            </w:r>
          </w:p>
        </w:tc>
        <w:tc>
          <w:tcPr>
            <w:tcW w:w="3180" w:type="dxa"/>
            <w:tcMar>
              <w:top w:w="0" w:type="dxa"/>
              <w:bottom w:w="0" w:type="dxa"/>
            </w:tcMar>
            <w:vAlign w:val="center"/>
          </w:tcPr>
          <w:p w:rsidR="00565EAC" w:rsidRDefault="001F4708">
            <w:pPr>
              <w:keepNext/>
              <w:keepLines/>
              <w:spacing w:after="0" w:line="240" w:lineRule="auto"/>
            </w:pPr>
            <w:r>
              <w:rPr>
                <w:sz w:val="18"/>
              </w:rPr>
              <w:t>Kapitalne donacije (šifre 3821 do 3824)</w:t>
            </w:r>
          </w:p>
        </w:tc>
        <w:tc>
          <w:tcPr>
            <w:tcW w:w="700" w:type="dxa"/>
            <w:tcMar>
              <w:top w:w="0" w:type="dxa"/>
              <w:bottom w:w="0" w:type="dxa"/>
            </w:tcMar>
            <w:vAlign w:val="center"/>
          </w:tcPr>
          <w:p w:rsidR="00565EAC" w:rsidRDefault="001F4708">
            <w:pPr>
              <w:keepNext/>
              <w:keepLines/>
              <w:spacing w:after="0" w:line="240" w:lineRule="auto"/>
            </w:pPr>
            <w:r>
              <w:rPr>
                <w:sz w:val="18"/>
              </w:rPr>
              <w:t>382</w:t>
            </w:r>
          </w:p>
        </w:tc>
        <w:tc>
          <w:tcPr>
            <w:tcW w:w="1860" w:type="dxa"/>
            <w:tcMar>
              <w:top w:w="0" w:type="dxa"/>
              <w:bottom w:w="0" w:type="dxa"/>
            </w:tcMar>
            <w:vAlign w:val="center"/>
          </w:tcPr>
          <w:p w:rsidR="00565EAC" w:rsidRDefault="001F4708">
            <w:pPr>
              <w:keepNext/>
              <w:keepLines/>
              <w:spacing w:after="0" w:line="240" w:lineRule="auto"/>
              <w:jc w:val="right"/>
            </w:pPr>
            <w:r>
              <w:rPr>
                <w:sz w:val="18"/>
              </w:rPr>
              <w:t>19.850,00</w:t>
            </w:r>
          </w:p>
        </w:tc>
        <w:tc>
          <w:tcPr>
            <w:tcW w:w="1860" w:type="dxa"/>
            <w:tcMar>
              <w:top w:w="0" w:type="dxa"/>
              <w:bottom w:w="0" w:type="dxa"/>
            </w:tcMar>
            <w:vAlign w:val="center"/>
          </w:tcPr>
          <w:p w:rsidR="00565EAC" w:rsidRDefault="001F4708">
            <w:pPr>
              <w:keepNext/>
              <w:keepLines/>
              <w:spacing w:after="0" w:line="240" w:lineRule="auto"/>
              <w:jc w:val="right"/>
            </w:pPr>
            <w:r>
              <w:rPr>
                <w:sz w:val="18"/>
              </w:rPr>
              <w:t>27.085,40</w:t>
            </w:r>
          </w:p>
        </w:tc>
        <w:tc>
          <w:tcPr>
            <w:tcW w:w="700" w:type="dxa"/>
            <w:tcMar>
              <w:top w:w="0" w:type="dxa"/>
              <w:bottom w:w="0" w:type="dxa"/>
            </w:tcMar>
            <w:vAlign w:val="center"/>
          </w:tcPr>
          <w:p w:rsidR="00565EAC" w:rsidRDefault="001F4708">
            <w:pPr>
              <w:keepNext/>
              <w:keepLines/>
              <w:spacing w:after="0" w:line="240" w:lineRule="auto"/>
              <w:jc w:val="right"/>
            </w:pPr>
            <w:r>
              <w:rPr>
                <w:sz w:val="18"/>
              </w:rPr>
              <w:t>136,5</w:t>
            </w:r>
          </w:p>
        </w:tc>
      </w:tr>
    </w:tbl>
    <w:p w:rsidR="00565EAC" w:rsidRDefault="00565EAC">
      <w:pPr>
        <w:spacing w:after="0"/>
      </w:pPr>
    </w:p>
    <w:p w:rsidR="00565EAC" w:rsidRDefault="001F4708">
      <w:r>
        <w:lastRenderedPageBreak/>
        <w:t>Kapitalne donacije bilježe blagi rast s indeksom ostvarenja 136,5 u odnosu u izvještajnom razdoblju prethodne godine.</w:t>
      </w:r>
    </w:p>
    <w:p w:rsidR="00565EAC" w:rsidRDefault="00565EAC"/>
    <w:p w:rsidR="00565EAC" w:rsidRDefault="001F4708">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65EAC">
        <w:tblPrEx>
          <w:tblCellMar>
            <w:top w:w="0" w:type="dxa"/>
            <w:bottom w:w="0" w:type="dxa"/>
          </w:tblCellMar>
        </w:tblPrEx>
        <w:trPr>
          <w:cantSplit/>
        </w:trPr>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Ostvareno u izvještajnom razdoblju</w:t>
            </w:r>
            <w:r>
              <w:rPr>
                <w:b/>
                <w:sz w:val="18"/>
              </w:rPr>
              <w:t xml:space="preserve"> tekuće godine</w:t>
            </w:r>
          </w:p>
        </w:tc>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Indeks (%)</w:t>
            </w:r>
          </w:p>
        </w:tc>
      </w:tr>
      <w:tr w:rsidR="00565EAC">
        <w:tblPrEx>
          <w:tblCellMar>
            <w:top w:w="0" w:type="dxa"/>
            <w:bottom w:w="0" w:type="dxa"/>
          </w:tblCellMar>
        </w:tblPrEx>
        <w:trPr>
          <w:cantSplit/>
          <w:trHeight w:val="560"/>
        </w:trPr>
        <w:tc>
          <w:tcPr>
            <w:tcW w:w="700" w:type="dxa"/>
            <w:tcMar>
              <w:top w:w="0" w:type="dxa"/>
              <w:bottom w:w="0" w:type="dxa"/>
            </w:tcMar>
            <w:vAlign w:val="center"/>
          </w:tcPr>
          <w:p w:rsidR="00565EAC" w:rsidRDefault="001F4708">
            <w:pPr>
              <w:keepNext/>
              <w:keepLines/>
              <w:spacing w:after="0" w:line="240" w:lineRule="auto"/>
            </w:pPr>
            <w:r>
              <w:rPr>
                <w:sz w:val="18"/>
              </w:rPr>
              <w:t>386</w:t>
            </w:r>
          </w:p>
        </w:tc>
        <w:tc>
          <w:tcPr>
            <w:tcW w:w="3180" w:type="dxa"/>
            <w:tcMar>
              <w:top w:w="0" w:type="dxa"/>
              <w:bottom w:w="0" w:type="dxa"/>
            </w:tcMar>
            <w:vAlign w:val="center"/>
          </w:tcPr>
          <w:p w:rsidR="00565EAC" w:rsidRDefault="001F4708">
            <w:pPr>
              <w:keepNext/>
              <w:keepLines/>
              <w:spacing w:after="0" w:line="240" w:lineRule="auto"/>
            </w:pPr>
            <w:r>
              <w:rPr>
                <w:sz w:val="18"/>
              </w:rPr>
              <w:t>Kapitalne pomoći (šifre 3861 do 3865)</w:t>
            </w:r>
          </w:p>
        </w:tc>
        <w:tc>
          <w:tcPr>
            <w:tcW w:w="700" w:type="dxa"/>
            <w:tcMar>
              <w:top w:w="0" w:type="dxa"/>
              <w:bottom w:w="0" w:type="dxa"/>
            </w:tcMar>
            <w:vAlign w:val="center"/>
          </w:tcPr>
          <w:p w:rsidR="00565EAC" w:rsidRDefault="001F4708">
            <w:pPr>
              <w:keepNext/>
              <w:keepLines/>
              <w:spacing w:after="0" w:line="240" w:lineRule="auto"/>
            </w:pPr>
            <w:r>
              <w:rPr>
                <w:sz w:val="18"/>
              </w:rPr>
              <w:t>386</w:t>
            </w:r>
          </w:p>
        </w:tc>
        <w:tc>
          <w:tcPr>
            <w:tcW w:w="1860" w:type="dxa"/>
            <w:tcMar>
              <w:top w:w="0" w:type="dxa"/>
              <w:bottom w:w="0" w:type="dxa"/>
            </w:tcMar>
            <w:vAlign w:val="center"/>
          </w:tcPr>
          <w:p w:rsidR="00565EAC" w:rsidRDefault="001F4708">
            <w:pPr>
              <w:keepNext/>
              <w:keepLines/>
              <w:spacing w:after="0" w:line="240" w:lineRule="auto"/>
              <w:jc w:val="right"/>
            </w:pPr>
            <w:r>
              <w:rPr>
                <w:sz w:val="18"/>
              </w:rPr>
              <w:t>1.847,63</w:t>
            </w:r>
          </w:p>
        </w:tc>
        <w:tc>
          <w:tcPr>
            <w:tcW w:w="1860" w:type="dxa"/>
            <w:tcMar>
              <w:top w:w="0" w:type="dxa"/>
              <w:bottom w:w="0" w:type="dxa"/>
            </w:tcMar>
            <w:vAlign w:val="center"/>
          </w:tcPr>
          <w:p w:rsidR="00565EAC" w:rsidRDefault="001F4708">
            <w:pPr>
              <w:keepNext/>
              <w:keepLines/>
              <w:spacing w:after="0" w:line="240" w:lineRule="auto"/>
              <w:jc w:val="right"/>
            </w:pPr>
            <w:r>
              <w:rPr>
                <w:sz w:val="18"/>
              </w:rPr>
              <w:t>134.100,52</w:t>
            </w:r>
          </w:p>
        </w:tc>
        <w:tc>
          <w:tcPr>
            <w:tcW w:w="700" w:type="dxa"/>
            <w:tcMar>
              <w:top w:w="0" w:type="dxa"/>
              <w:bottom w:w="0" w:type="dxa"/>
            </w:tcMar>
            <w:vAlign w:val="center"/>
          </w:tcPr>
          <w:p w:rsidR="00565EAC" w:rsidRDefault="001F4708">
            <w:pPr>
              <w:keepNext/>
              <w:keepLines/>
              <w:spacing w:after="0" w:line="240" w:lineRule="auto"/>
              <w:jc w:val="right"/>
            </w:pPr>
            <w:r>
              <w:rPr>
                <w:sz w:val="18"/>
              </w:rPr>
              <w:t>7258,0</w:t>
            </w:r>
          </w:p>
        </w:tc>
      </w:tr>
    </w:tbl>
    <w:p w:rsidR="00565EAC" w:rsidRDefault="00565EAC">
      <w:pPr>
        <w:spacing w:after="0"/>
      </w:pPr>
    </w:p>
    <w:p w:rsidR="00565EAC" w:rsidRDefault="001F4708">
      <w:r>
        <w:t>Kapitalne pomoći kreditnim i ostalim financijskim društvima te trgovačkim društvima u javnom sektoru šifra 3861 bilježi nagli rast i indeks iznosi 7258, jer je Općina sudjelovala u projektu „Aglomeracija Koprivnica“ te sufinancira dio troškova projekta pre</w:t>
      </w:r>
      <w:r>
        <w:t>ma Trgovačkom društvu „Koprivničke vode d.d.“ koji su nositelj projekta, a kako je projekat završen početkom 2025 godine no stigao je konačni obračun koji iznosi 134.100,52 eura.</w:t>
      </w:r>
    </w:p>
    <w:p w:rsidR="00565EAC" w:rsidRDefault="00565EAC"/>
    <w:p w:rsidR="00565EAC" w:rsidRDefault="001F4708">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65EAC">
        <w:tblPrEx>
          <w:tblCellMar>
            <w:top w:w="0" w:type="dxa"/>
            <w:bottom w:w="0" w:type="dxa"/>
          </w:tblCellMar>
        </w:tblPrEx>
        <w:trPr>
          <w:cantSplit/>
        </w:trPr>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 xml:space="preserve">Ostvareno u izvještajnom </w:t>
            </w:r>
            <w:r>
              <w:rPr>
                <w:b/>
                <w:sz w:val="18"/>
              </w:rPr>
              <w:t>razdoblju prethodne godine</w:t>
            </w:r>
          </w:p>
        </w:tc>
        <w:tc>
          <w:tcPr>
            <w:tcW w:w="186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Indeks (%)</w:t>
            </w:r>
          </w:p>
        </w:tc>
      </w:tr>
      <w:tr w:rsidR="00565EAC">
        <w:tblPrEx>
          <w:tblCellMar>
            <w:top w:w="0" w:type="dxa"/>
            <w:bottom w:w="0" w:type="dxa"/>
          </w:tblCellMar>
        </w:tblPrEx>
        <w:trPr>
          <w:cantSplit/>
          <w:trHeight w:val="560"/>
        </w:trPr>
        <w:tc>
          <w:tcPr>
            <w:tcW w:w="700" w:type="dxa"/>
            <w:tcMar>
              <w:top w:w="0" w:type="dxa"/>
              <w:bottom w:w="0" w:type="dxa"/>
            </w:tcMar>
            <w:vAlign w:val="center"/>
          </w:tcPr>
          <w:p w:rsidR="00565EAC" w:rsidRDefault="001F4708">
            <w:pPr>
              <w:keepNext/>
              <w:keepLines/>
              <w:spacing w:after="0" w:line="240" w:lineRule="auto"/>
            </w:pPr>
            <w:r>
              <w:rPr>
                <w:sz w:val="18"/>
              </w:rPr>
              <w:t>7</w:t>
            </w:r>
          </w:p>
        </w:tc>
        <w:tc>
          <w:tcPr>
            <w:tcW w:w="3180" w:type="dxa"/>
            <w:tcMar>
              <w:top w:w="0" w:type="dxa"/>
              <w:bottom w:w="0" w:type="dxa"/>
            </w:tcMar>
            <w:vAlign w:val="center"/>
          </w:tcPr>
          <w:p w:rsidR="00565EAC" w:rsidRDefault="001F4708">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565EAC" w:rsidRDefault="001F4708">
            <w:pPr>
              <w:keepNext/>
              <w:keepLines/>
              <w:spacing w:after="0" w:line="240" w:lineRule="auto"/>
            </w:pPr>
            <w:r>
              <w:rPr>
                <w:sz w:val="18"/>
              </w:rPr>
              <w:t>7</w:t>
            </w:r>
          </w:p>
        </w:tc>
        <w:tc>
          <w:tcPr>
            <w:tcW w:w="1860" w:type="dxa"/>
            <w:tcMar>
              <w:top w:w="0" w:type="dxa"/>
              <w:bottom w:w="0" w:type="dxa"/>
            </w:tcMar>
            <w:vAlign w:val="center"/>
          </w:tcPr>
          <w:p w:rsidR="00565EAC" w:rsidRDefault="001F4708">
            <w:pPr>
              <w:keepNext/>
              <w:keepLines/>
              <w:spacing w:after="0" w:line="240" w:lineRule="auto"/>
              <w:jc w:val="right"/>
            </w:pPr>
            <w:r>
              <w:rPr>
                <w:sz w:val="18"/>
              </w:rPr>
              <w:t>0,00</w:t>
            </w:r>
          </w:p>
        </w:tc>
        <w:tc>
          <w:tcPr>
            <w:tcW w:w="1860" w:type="dxa"/>
            <w:tcMar>
              <w:top w:w="0" w:type="dxa"/>
              <w:bottom w:w="0" w:type="dxa"/>
            </w:tcMar>
            <w:vAlign w:val="center"/>
          </w:tcPr>
          <w:p w:rsidR="00565EAC" w:rsidRDefault="001F4708">
            <w:pPr>
              <w:keepNext/>
              <w:keepLines/>
              <w:spacing w:after="0" w:line="240" w:lineRule="auto"/>
              <w:jc w:val="right"/>
            </w:pPr>
            <w:r>
              <w:rPr>
                <w:sz w:val="18"/>
              </w:rPr>
              <w:t>10.525,49</w:t>
            </w:r>
          </w:p>
        </w:tc>
        <w:tc>
          <w:tcPr>
            <w:tcW w:w="700" w:type="dxa"/>
            <w:tcMar>
              <w:top w:w="0" w:type="dxa"/>
              <w:bottom w:w="0" w:type="dxa"/>
            </w:tcMar>
            <w:vAlign w:val="center"/>
          </w:tcPr>
          <w:p w:rsidR="00565EAC" w:rsidRDefault="001F4708">
            <w:pPr>
              <w:keepNext/>
              <w:keepLines/>
              <w:spacing w:after="0" w:line="240" w:lineRule="auto"/>
              <w:jc w:val="right"/>
            </w:pPr>
            <w:r>
              <w:rPr>
                <w:sz w:val="18"/>
              </w:rPr>
              <w:t>-</w:t>
            </w:r>
          </w:p>
        </w:tc>
      </w:tr>
    </w:tbl>
    <w:p w:rsidR="00565EAC" w:rsidRDefault="00565EAC">
      <w:pPr>
        <w:spacing w:after="0"/>
      </w:pPr>
    </w:p>
    <w:p w:rsidR="00565EAC" w:rsidRDefault="001F4708">
      <w:r>
        <w:t>Općina u 2025. godini nije raspisivala Javni poziv za prodaju nekretnina u vlasništvu Općine kao što je to bio slučaj u 2024. godini, već je izravnom pogodbom prodala 2 nekretnine u manjoj vrijednosti., dok je Općina u prva tri mjeseca raspisivala javne po</w:t>
      </w:r>
      <w:r>
        <w:t>zive za prodaju nekretnina te dolazi do povećanja.</w:t>
      </w:r>
    </w:p>
    <w:p w:rsidR="00565EAC" w:rsidRDefault="00565EAC"/>
    <w:p w:rsidR="00565EAC" w:rsidRDefault="001F4708">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65EAC">
        <w:tblPrEx>
          <w:tblCellMar>
            <w:top w:w="0" w:type="dxa"/>
            <w:bottom w:w="0" w:type="dxa"/>
          </w:tblCellMar>
        </w:tblPrEx>
        <w:trPr>
          <w:cantSplit/>
        </w:trPr>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Indeks (%)</w:t>
            </w:r>
          </w:p>
        </w:tc>
      </w:tr>
      <w:tr w:rsidR="00565EAC">
        <w:tblPrEx>
          <w:tblCellMar>
            <w:top w:w="0" w:type="dxa"/>
            <w:bottom w:w="0" w:type="dxa"/>
          </w:tblCellMar>
        </w:tblPrEx>
        <w:trPr>
          <w:cantSplit/>
          <w:trHeight w:val="560"/>
        </w:trPr>
        <w:tc>
          <w:tcPr>
            <w:tcW w:w="700" w:type="dxa"/>
            <w:tcMar>
              <w:top w:w="0" w:type="dxa"/>
              <w:bottom w:w="0" w:type="dxa"/>
            </w:tcMar>
            <w:vAlign w:val="center"/>
          </w:tcPr>
          <w:p w:rsidR="00565EAC" w:rsidRDefault="001F4708">
            <w:pPr>
              <w:keepNext/>
              <w:keepLines/>
              <w:spacing w:after="0" w:line="240" w:lineRule="auto"/>
            </w:pPr>
            <w:r>
              <w:rPr>
                <w:sz w:val="18"/>
              </w:rPr>
              <w:t>4</w:t>
            </w:r>
          </w:p>
        </w:tc>
        <w:tc>
          <w:tcPr>
            <w:tcW w:w="3180" w:type="dxa"/>
            <w:tcMar>
              <w:top w:w="0" w:type="dxa"/>
              <w:bottom w:w="0" w:type="dxa"/>
            </w:tcMar>
            <w:vAlign w:val="center"/>
          </w:tcPr>
          <w:p w:rsidR="00565EAC" w:rsidRDefault="001F4708">
            <w:pPr>
              <w:keepNext/>
              <w:keepLines/>
              <w:spacing w:after="0" w:line="240" w:lineRule="auto"/>
            </w:pPr>
            <w:r>
              <w:rPr>
                <w:sz w:val="18"/>
              </w:rPr>
              <w:t xml:space="preserve">Rashodi za nabavu nefinancijske </w:t>
            </w:r>
            <w:r>
              <w:rPr>
                <w:sz w:val="18"/>
              </w:rPr>
              <w:t>imovine (šifre 41+42+43+44+45)</w:t>
            </w:r>
          </w:p>
        </w:tc>
        <w:tc>
          <w:tcPr>
            <w:tcW w:w="700" w:type="dxa"/>
            <w:tcMar>
              <w:top w:w="0" w:type="dxa"/>
              <w:bottom w:w="0" w:type="dxa"/>
            </w:tcMar>
            <w:vAlign w:val="center"/>
          </w:tcPr>
          <w:p w:rsidR="00565EAC" w:rsidRDefault="001F4708">
            <w:pPr>
              <w:keepNext/>
              <w:keepLines/>
              <w:spacing w:after="0" w:line="240" w:lineRule="auto"/>
            </w:pPr>
            <w:r>
              <w:rPr>
                <w:sz w:val="18"/>
              </w:rPr>
              <w:t>4</w:t>
            </w:r>
          </w:p>
        </w:tc>
        <w:tc>
          <w:tcPr>
            <w:tcW w:w="1860" w:type="dxa"/>
            <w:tcMar>
              <w:top w:w="0" w:type="dxa"/>
              <w:bottom w:w="0" w:type="dxa"/>
            </w:tcMar>
            <w:vAlign w:val="center"/>
          </w:tcPr>
          <w:p w:rsidR="00565EAC" w:rsidRDefault="001F4708">
            <w:pPr>
              <w:keepNext/>
              <w:keepLines/>
              <w:spacing w:after="0" w:line="240" w:lineRule="auto"/>
              <w:jc w:val="right"/>
            </w:pPr>
            <w:r>
              <w:rPr>
                <w:sz w:val="18"/>
              </w:rPr>
              <w:t>546.718,75</w:t>
            </w:r>
          </w:p>
        </w:tc>
        <w:tc>
          <w:tcPr>
            <w:tcW w:w="1860" w:type="dxa"/>
            <w:tcMar>
              <w:top w:w="0" w:type="dxa"/>
              <w:bottom w:w="0" w:type="dxa"/>
            </w:tcMar>
            <w:vAlign w:val="center"/>
          </w:tcPr>
          <w:p w:rsidR="00565EAC" w:rsidRDefault="001F4708">
            <w:pPr>
              <w:keepNext/>
              <w:keepLines/>
              <w:spacing w:after="0" w:line="240" w:lineRule="auto"/>
              <w:jc w:val="right"/>
            </w:pPr>
            <w:r>
              <w:rPr>
                <w:sz w:val="18"/>
              </w:rPr>
              <w:t>112.157,19</w:t>
            </w:r>
          </w:p>
        </w:tc>
        <w:tc>
          <w:tcPr>
            <w:tcW w:w="700" w:type="dxa"/>
            <w:tcMar>
              <w:top w:w="0" w:type="dxa"/>
              <w:bottom w:w="0" w:type="dxa"/>
            </w:tcMar>
            <w:vAlign w:val="center"/>
          </w:tcPr>
          <w:p w:rsidR="00565EAC" w:rsidRDefault="001F4708">
            <w:pPr>
              <w:keepNext/>
              <w:keepLines/>
              <w:spacing w:after="0" w:line="240" w:lineRule="auto"/>
              <w:jc w:val="right"/>
            </w:pPr>
            <w:r>
              <w:rPr>
                <w:sz w:val="18"/>
              </w:rPr>
              <w:t>20,5</w:t>
            </w:r>
          </w:p>
        </w:tc>
      </w:tr>
    </w:tbl>
    <w:p w:rsidR="00565EAC" w:rsidRDefault="00565EAC">
      <w:pPr>
        <w:spacing w:after="0"/>
      </w:pPr>
    </w:p>
    <w:p w:rsidR="00565EAC" w:rsidRDefault="001F4708">
      <w:r>
        <w:t>Rashodi za nabavu nefinancijske imovine u izvještajnom razdoblju ostvareni su u znatno manjem iznosu, s obzirom na to da u prvom tromjesečju nisu realizirani značajniji izdaci za kapitalne projekte. Očekuje se njihovo povećanje tijekom ostatka godine, sukl</w:t>
      </w:r>
      <w:r>
        <w:t>adno planiranoj dinamici provedbe projekata.</w:t>
      </w:r>
    </w:p>
    <w:p w:rsidR="00565EAC" w:rsidRDefault="00565EAC"/>
    <w:p w:rsidR="00565EAC" w:rsidRDefault="001F4708">
      <w:pPr>
        <w:keepNext/>
        <w:spacing w:line="240" w:lineRule="auto"/>
        <w:jc w:val="center"/>
      </w:pPr>
      <w:r>
        <w:rPr>
          <w:sz w:val="28"/>
        </w:rPr>
        <w:lastRenderedPageBreak/>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65EAC">
        <w:tblPrEx>
          <w:tblCellMar>
            <w:top w:w="0" w:type="dxa"/>
            <w:bottom w:w="0" w:type="dxa"/>
          </w:tblCellMar>
        </w:tblPrEx>
        <w:trPr>
          <w:cantSplit/>
        </w:trPr>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Indeks (%)</w:t>
            </w:r>
          </w:p>
        </w:tc>
      </w:tr>
      <w:tr w:rsidR="00565EAC">
        <w:tblPrEx>
          <w:tblCellMar>
            <w:top w:w="0" w:type="dxa"/>
            <w:bottom w:w="0" w:type="dxa"/>
          </w:tblCellMar>
        </w:tblPrEx>
        <w:trPr>
          <w:cantSplit/>
          <w:trHeight w:val="560"/>
        </w:trPr>
        <w:tc>
          <w:tcPr>
            <w:tcW w:w="700" w:type="dxa"/>
            <w:tcMar>
              <w:top w:w="0" w:type="dxa"/>
              <w:bottom w:w="0" w:type="dxa"/>
            </w:tcMar>
            <w:vAlign w:val="center"/>
          </w:tcPr>
          <w:p w:rsidR="00565EAC" w:rsidRDefault="001F4708">
            <w:pPr>
              <w:keepNext/>
              <w:keepLines/>
              <w:spacing w:after="0" w:line="240" w:lineRule="auto"/>
            </w:pPr>
            <w:r>
              <w:rPr>
                <w:sz w:val="18"/>
              </w:rPr>
              <w:t>4264</w:t>
            </w:r>
          </w:p>
        </w:tc>
        <w:tc>
          <w:tcPr>
            <w:tcW w:w="3180" w:type="dxa"/>
            <w:tcMar>
              <w:top w:w="0" w:type="dxa"/>
              <w:bottom w:w="0" w:type="dxa"/>
            </w:tcMar>
            <w:vAlign w:val="center"/>
          </w:tcPr>
          <w:p w:rsidR="00565EAC" w:rsidRDefault="001F4708">
            <w:pPr>
              <w:keepNext/>
              <w:keepLines/>
              <w:spacing w:after="0" w:line="240" w:lineRule="auto"/>
            </w:pPr>
            <w:r>
              <w:rPr>
                <w:sz w:val="18"/>
              </w:rPr>
              <w:t>Ostala nematerijalna proizvedena imovina</w:t>
            </w:r>
          </w:p>
        </w:tc>
        <w:tc>
          <w:tcPr>
            <w:tcW w:w="700" w:type="dxa"/>
            <w:tcMar>
              <w:top w:w="0" w:type="dxa"/>
              <w:bottom w:w="0" w:type="dxa"/>
            </w:tcMar>
            <w:vAlign w:val="center"/>
          </w:tcPr>
          <w:p w:rsidR="00565EAC" w:rsidRDefault="001F4708">
            <w:pPr>
              <w:keepNext/>
              <w:keepLines/>
              <w:spacing w:after="0" w:line="240" w:lineRule="auto"/>
            </w:pPr>
            <w:r>
              <w:rPr>
                <w:sz w:val="18"/>
              </w:rPr>
              <w:t>4264</w:t>
            </w:r>
          </w:p>
        </w:tc>
        <w:tc>
          <w:tcPr>
            <w:tcW w:w="1860" w:type="dxa"/>
            <w:tcMar>
              <w:top w:w="0" w:type="dxa"/>
              <w:bottom w:w="0" w:type="dxa"/>
            </w:tcMar>
            <w:vAlign w:val="center"/>
          </w:tcPr>
          <w:p w:rsidR="00565EAC" w:rsidRDefault="001F4708">
            <w:pPr>
              <w:keepNext/>
              <w:keepLines/>
              <w:spacing w:after="0" w:line="240" w:lineRule="auto"/>
              <w:jc w:val="right"/>
            </w:pPr>
            <w:r>
              <w:rPr>
                <w:sz w:val="18"/>
              </w:rPr>
              <w:t>5.125,00</w:t>
            </w:r>
          </w:p>
        </w:tc>
        <w:tc>
          <w:tcPr>
            <w:tcW w:w="1860" w:type="dxa"/>
            <w:tcMar>
              <w:top w:w="0" w:type="dxa"/>
              <w:bottom w:w="0" w:type="dxa"/>
            </w:tcMar>
            <w:vAlign w:val="center"/>
          </w:tcPr>
          <w:p w:rsidR="00565EAC" w:rsidRDefault="001F4708">
            <w:pPr>
              <w:keepNext/>
              <w:keepLines/>
              <w:spacing w:after="0" w:line="240" w:lineRule="auto"/>
              <w:jc w:val="right"/>
            </w:pPr>
            <w:r>
              <w:rPr>
                <w:sz w:val="18"/>
              </w:rPr>
              <w:t>14.375,00</w:t>
            </w:r>
          </w:p>
        </w:tc>
        <w:tc>
          <w:tcPr>
            <w:tcW w:w="700" w:type="dxa"/>
            <w:tcMar>
              <w:top w:w="0" w:type="dxa"/>
              <w:bottom w:w="0" w:type="dxa"/>
            </w:tcMar>
            <w:vAlign w:val="center"/>
          </w:tcPr>
          <w:p w:rsidR="00565EAC" w:rsidRDefault="001F4708">
            <w:pPr>
              <w:keepNext/>
              <w:keepLines/>
              <w:spacing w:after="0" w:line="240" w:lineRule="auto"/>
              <w:jc w:val="right"/>
            </w:pPr>
            <w:r>
              <w:rPr>
                <w:sz w:val="18"/>
              </w:rPr>
              <w:t>280,5</w:t>
            </w:r>
          </w:p>
        </w:tc>
      </w:tr>
    </w:tbl>
    <w:p w:rsidR="00565EAC" w:rsidRDefault="00565EAC">
      <w:pPr>
        <w:spacing w:after="0"/>
      </w:pPr>
    </w:p>
    <w:p w:rsidR="00565EAC" w:rsidRDefault="001F4708">
      <w:r>
        <w:t>Ostala nematerijalna proizvedena imovina odnosi se na izradu projektantskih troškovnika i glavnih projekata za nadolazeće projekte te dolazi do povećanja za 280,5 u odnosu na ostvareno u izvještajnom razdoblju prethodne godine.</w:t>
      </w:r>
    </w:p>
    <w:p w:rsidR="00565EAC" w:rsidRDefault="00565EAC"/>
    <w:p w:rsidR="00565EAC" w:rsidRDefault="001F4708">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65EAC">
        <w:tblPrEx>
          <w:tblCellMar>
            <w:top w:w="0" w:type="dxa"/>
            <w:bottom w:w="0" w:type="dxa"/>
          </w:tblCellMar>
        </w:tblPrEx>
        <w:trPr>
          <w:cantSplit/>
        </w:trPr>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 xml:space="preserve">Račun iz </w:t>
            </w:r>
            <w:proofErr w:type="spellStart"/>
            <w:r>
              <w:rPr>
                <w:b/>
                <w:sz w:val="18"/>
              </w:rPr>
              <w:t>rač</w:t>
            </w:r>
            <w:proofErr w:type="spellEnd"/>
            <w:r>
              <w:rPr>
                <w:b/>
                <w:sz w:val="18"/>
              </w:rPr>
              <w:t xml:space="preserve">. </w:t>
            </w:r>
            <w:r>
              <w:rPr>
                <w:b/>
                <w:sz w:val="18"/>
              </w:rPr>
              <w:t>plana</w:t>
            </w:r>
          </w:p>
        </w:tc>
        <w:tc>
          <w:tcPr>
            <w:tcW w:w="318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Indeks (%)</w:t>
            </w:r>
          </w:p>
        </w:tc>
      </w:tr>
      <w:tr w:rsidR="00565EAC">
        <w:tblPrEx>
          <w:tblCellMar>
            <w:top w:w="0" w:type="dxa"/>
            <w:bottom w:w="0" w:type="dxa"/>
          </w:tblCellMar>
        </w:tblPrEx>
        <w:trPr>
          <w:cantSplit/>
          <w:trHeight w:val="560"/>
        </w:trPr>
        <w:tc>
          <w:tcPr>
            <w:tcW w:w="700" w:type="dxa"/>
            <w:tcMar>
              <w:top w:w="0" w:type="dxa"/>
              <w:bottom w:w="0" w:type="dxa"/>
            </w:tcMar>
            <w:vAlign w:val="center"/>
          </w:tcPr>
          <w:p w:rsidR="00565EAC" w:rsidRDefault="001F4708">
            <w:pPr>
              <w:keepNext/>
              <w:keepLines/>
              <w:spacing w:after="0" w:line="240" w:lineRule="auto"/>
            </w:pPr>
            <w:r>
              <w:rPr>
                <w:sz w:val="18"/>
              </w:rPr>
              <w:t>8</w:t>
            </w:r>
          </w:p>
        </w:tc>
        <w:tc>
          <w:tcPr>
            <w:tcW w:w="3180" w:type="dxa"/>
            <w:tcMar>
              <w:top w:w="0" w:type="dxa"/>
              <w:bottom w:w="0" w:type="dxa"/>
            </w:tcMar>
            <w:vAlign w:val="center"/>
          </w:tcPr>
          <w:p w:rsidR="00565EAC" w:rsidRDefault="001F4708">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565EAC" w:rsidRDefault="001F4708">
            <w:pPr>
              <w:keepNext/>
              <w:keepLines/>
              <w:spacing w:after="0" w:line="240" w:lineRule="auto"/>
            </w:pPr>
            <w:r>
              <w:rPr>
                <w:sz w:val="18"/>
              </w:rPr>
              <w:t>8</w:t>
            </w:r>
          </w:p>
        </w:tc>
        <w:tc>
          <w:tcPr>
            <w:tcW w:w="1860" w:type="dxa"/>
            <w:tcMar>
              <w:top w:w="0" w:type="dxa"/>
              <w:bottom w:w="0" w:type="dxa"/>
            </w:tcMar>
            <w:vAlign w:val="center"/>
          </w:tcPr>
          <w:p w:rsidR="00565EAC" w:rsidRDefault="001F4708">
            <w:pPr>
              <w:keepNext/>
              <w:keepLines/>
              <w:spacing w:after="0" w:line="240" w:lineRule="auto"/>
              <w:jc w:val="right"/>
            </w:pPr>
            <w:r>
              <w:rPr>
                <w:sz w:val="18"/>
              </w:rPr>
              <w:t>0,00</w:t>
            </w:r>
          </w:p>
        </w:tc>
        <w:tc>
          <w:tcPr>
            <w:tcW w:w="1860" w:type="dxa"/>
            <w:tcMar>
              <w:top w:w="0" w:type="dxa"/>
              <w:bottom w:w="0" w:type="dxa"/>
            </w:tcMar>
            <w:vAlign w:val="center"/>
          </w:tcPr>
          <w:p w:rsidR="00565EAC" w:rsidRDefault="001F4708">
            <w:pPr>
              <w:keepNext/>
              <w:keepLines/>
              <w:spacing w:after="0" w:line="240" w:lineRule="auto"/>
              <w:jc w:val="right"/>
            </w:pPr>
            <w:r>
              <w:rPr>
                <w:sz w:val="18"/>
              </w:rPr>
              <w:t>400.600,00</w:t>
            </w:r>
          </w:p>
        </w:tc>
        <w:tc>
          <w:tcPr>
            <w:tcW w:w="700" w:type="dxa"/>
            <w:tcMar>
              <w:top w:w="0" w:type="dxa"/>
              <w:bottom w:w="0" w:type="dxa"/>
            </w:tcMar>
            <w:vAlign w:val="center"/>
          </w:tcPr>
          <w:p w:rsidR="00565EAC" w:rsidRDefault="001F4708">
            <w:pPr>
              <w:keepNext/>
              <w:keepLines/>
              <w:spacing w:after="0" w:line="240" w:lineRule="auto"/>
              <w:jc w:val="right"/>
            </w:pPr>
            <w:r>
              <w:rPr>
                <w:sz w:val="18"/>
              </w:rPr>
              <w:t>-</w:t>
            </w:r>
          </w:p>
        </w:tc>
      </w:tr>
    </w:tbl>
    <w:p w:rsidR="00565EAC" w:rsidRDefault="00565EAC">
      <w:pPr>
        <w:spacing w:after="0"/>
      </w:pPr>
    </w:p>
    <w:p w:rsidR="00565EAC" w:rsidRDefault="001F4708">
      <w:r>
        <w:t>Primici od financijske imovine i zaduživanja odnose se na Kratkoročni zajam banke koji je Općina bila primorana podići kako bi premostila razliku između priljeva Kapitalnih pomoći ostvarenih iz nacionalni i EU sredstva za kapitalne projekte koje provodi te</w:t>
      </w:r>
      <w:r>
        <w:t xml:space="preserve"> podmirivanja obveze za iste tj. plaćanje izvođačima radova.</w:t>
      </w:r>
    </w:p>
    <w:p w:rsidR="00565EAC" w:rsidRDefault="00565EAC"/>
    <w:p w:rsidR="00565EAC" w:rsidRDefault="001F4708">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65EAC">
        <w:tblPrEx>
          <w:tblCellMar>
            <w:top w:w="0" w:type="dxa"/>
            <w:bottom w:w="0" w:type="dxa"/>
          </w:tblCellMar>
        </w:tblPrEx>
        <w:trPr>
          <w:cantSplit/>
        </w:trPr>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Indeks (%)</w:t>
            </w:r>
          </w:p>
        </w:tc>
      </w:tr>
      <w:tr w:rsidR="00565EAC">
        <w:tblPrEx>
          <w:tblCellMar>
            <w:top w:w="0" w:type="dxa"/>
            <w:bottom w:w="0" w:type="dxa"/>
          </w:tblCellMar>
        </w:tblPrEx>
        <w:trPr>
          <w:cantSplit/>
          <w:trHeight w:val="560"/>
        </w:trPr>
        <w:tc>
          <w:tcPr>
            <w:tcW w:w="700" w:type="dxa"/>
            <w:tcMar>
              <w:top w:w="0" w:type="dxa"/>
              <w:bottom w:w="0" w:type="dxa"/>
            </w:tcMar>
            <w:vAlign w:val="center"/>
          </w:tcPr>
          <w:p w:rsidR="00565EAC" w:rsidRDefault="001F4708">
            <w:pPr>
              <w:keepNext/>
              <w:keepLines/>
              <w:spacing w:after="0" w:line="240" w:lineRule="auto"/>
            </w:pPr>
            <w:r>
              <w:rPr>
                <w:sz w:val="18"/>
              </w:rPr>
              <w:t>812</w:t>
            </w:r>
          </w:p>
        </w:tc>
        <w:tc>
          <w:tcPr>
            <w:tcW w:w="3180" w:type="dxa"/>
            <w:tcMar>
              <w:top w:w="0" w:type="dxa"/>
              <w:bottom w:w="0" w:type="dxa"/>
            </w:tcMar>
            <w:vAlign w:val="center"/>
          </w:tcPr>
          <w:p w:rsidR="00565EAC" w:rsidRDefault="001F4708">
            <w:pPr>
              <w:keepNext/>
              <w:keepLines/>
              <w:spacing w:after="0" w:line="240" w:lineRule="auto"/>
            </w:pPr>
            <w:r>
              <w:rPr>
                <w:sz w:val="18"/>
              </w:rPr>
              <w:t>Primici (povrati) glavnice</w:t>
            </w:r>
            <w:r>
              <w:rPr>
                <w:sz w:val="18"/>
              </w:rPr>
              <w:t xml:space="preserve"> zajmova danih neprofitnim organizacijama, građanima i kućanstvima (šifre 8121+8122)</w:t>
            </w:r>
          </w:p>
        </w:tc>
        <w:tc>
          <w:tcPr>
            <w:tcW w:w="700" w:type="dxa"/>
            <w:tcMar>
              <w:top w:w="0" w:type="dxa"/>
              <w:bottom w:w="0" w:type="dxa"/>
            </w:tcMar>
            <w:vAlign w:val="center"/>
          </w:tcPr>
          <w:p w:rsidR="00565EAC" w:rsidRDefault="001F4708">
            <w:pPr>
              <w:keepNext/>
              <w:keepLines/>
              <w:spacing w:after="0" w:line="240" w:lineRule="auto"/>
            </w:pPr>
            <w:r>
              <w:rPr>
                <w:sz w:val="18"/>
              </w:rPr>
              <w:t>812</w:t>
            </w:r>
          </w:p>
        </w:tc>
        <w:tc>
          <w:tcPr>
            <w:tcW w:w="1860" w:type="dxa"/>
            <w:tcMar>
              <w:top w:w="0" w:type="dxa"/>
              <w:bottom w:w="0" w:type="dxa"/>
            </w:tcMar>
            <w:vAlign w:val="center"/>
          </w:tcPr>
          <w:p w:rsidR="00565EAC" w:rsidRDefault="001F4708">
            <w:pPr>
              <w:keepNext/>
              <w:keepLines/>
              <w:spacing w:after="0" w:line="240" w:lineRule="auto"/>
              <w:jc w:val="right"/>
            </w:pPr>
            <w:r>
              <w:rPr>
                <w:sz w:val="18"/>
              </w:rPr>
              <w:t>0,00</w:t>
            </w:r>
          </w:p>
        </w:tc>
        <w:tc>
          <w:tcPr>
            <w:tcW w:w="1860" w:type="dxa"/>
            <w:tcMar>
              <w:top w:w="0" w:type="dxa"/>
              <w:bottom w:w="0" w:type="dxa"/>
            </w:tcMar>
            <w:vAlign w:val="center"/>
          </w:tcPr>
          <w:p w:rsidR="00565EAC" w:rsidRDefault="001F4708">
            <w:pPr>
              <w:keepNext/>
              <w:keepLines/>
              <w:spacing w:after="0" w:line="240" w:lineRule="auto"/>
              <w:jc w:val="right"/>
            </w:pPr>
            <w:r>
              <w:rPr>
                <w:sz w:val="18"/>
              </w:rPr>
              <w:t>600,00</w:t>
            </w:r>
          </w:p>
        </w:tc>
        <w:tc>
          <w:tcPr>
            <w:tcW w:w="700" w:type="dxa"/>
            <w:tcMar>
              <w:top w:w="0" w:type="dxa"/>
              <w:bottom w:w="0" w:type="dxa"/>
            </w:tcMar>
            <w:vAlign w:val="center"/>
          </w:tcPr>
          <w:p w:rsidR="00565EAC" w:rsidRDefault="001F4708">
            <w:pPr>
              <w:keepNext/>
              <w:keepLines/>
              <w:spacing w:after="0" w:line="240" w:lineRule="auto"/>
              <w:jc w:val="right"/>
            </w:pPr>
            <w:r>
              <w:rPr>
                <w:sz w:val="18"/>
              </w:rPr>
              <w:t>-</w:t>
            </w:r>
          </w:p>
        </w:tc>
      </w:tr>
    </w:tbl>
    <w:p w:rsidR="00565EAC" w:rsidRDefault="00565EAC">
      <w:pPr>
        <w:spacing w:after="0"/>
      </w:pPr>
    </w:p>
    <w:p w:rsidR="00565EAC" w:rsidRDefault="001F4708">
      <w:r>
        <w:t>Povrat studentske stipendije.</w:t>
      </w:r>
    </w:p>
    <w:p w:rsidR="00565EAC" w:rsidRDefault="00565EAC"/>
    <w:p w:rsidR="00565EAC" w:rsidRDefault="001F4708">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65EAC">
        <w:tblPrEx>
          <w:tblCellMar>
            <w:top w:w="0" w:type="dxa"/>
            <w:bottom w:w="0" w:type="dxa"/>
          </w:tblCellMar>
        </w:tblPrEx>
        <w:trPr>
          <w:cantSplit/>
        </w:trPr>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 xml:space="preserve">Ostvareno u </w:t>
            </w:r>
            <w:r>
              <w:rPr>
                <w:b/>
                <w:sz w:val="18"/>
              </w:rPr>
              <w:t>izvještajnom razdoblju tekuće godine</w:t>
            </w:r>
          </w:p>
        </w:tc>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Indeks (%)</w:t>
            </w:r>
          </w:p>
        </w:tc>
      </w:tr>
      <w:tr w:rsidR="00565EAC">
        <w:tblPrEx>
          <w:tblCellMar>
            <w:top w:w="0" w:type="dxa"/>
            <w:bottom w:w="0" w:type="dxa"/>
          </w:tblCellMar>
        </w:tblPrEx>
        <w:trPr>
          <w:cantSplit/>
          <w:trHeight w:val="560"/>
        </w:trPr>
        <w:tc>
          <w:tcPr>
            <w:tcW w:w="700" w:type="dxa"/>
            <w:tcMar>
              <w:top w:w="0" w:type="dxa"/>
              <w:bottom w:w="0" w:type="dxa"/>
            </w:tcMar>
            <w:vAlign w:val="center"/>
          </w:tcPr>
          <w:p w:rsidR="00565EAC" w:rsidRDefault="001F4708">
            <w:pPr>
              <w:keepNext/>
              <w:keepLines/>
              <w:spacing w:after="0" w:line="240" w:lineRule="auto"/>
            </w:pPr>
            <w:r>
              <w:rPr>
                <w:sz w:val="18"/>
              </w:rPr>
              <w:t>5</w:t>
            </w:r>
          </w:p>
        </w:tc>
        <w:tc>
          <w:tcPr>
            <w:tcW w:w="3180" w:type="dxa"/>
            <w:tcMar>
              <w:top w:w="0" w:type="dxa"/>
              <w:bottom w:w="0" w:type="dxa"/>
            </w:tcMar>
            <w:vAlign w:val="center"/>
          </w:tcPr>
          <w:p w:rsidR="00565EAC" w:rsidRDefault="001F4708">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565EAC" w:rsidRDefault="001F4708">
            <w:pPr>
              <w:keepNext/>
              <w:keepLines/>
              <w:spacing w:after="0" w:line="240" w:lineRule="auto"/>
            </w:pPr>
            <w:r>
              <w:rPr>
                <w:sz w:val="18"/>
              </w:rPr>
              <w:t>5</w:t>
            </w:r>
          </w:p>
        </w:tc>
        <w:tc>
          <w:tcPr>
            <w:tcW w:w="1860" w:type="dxa"/>
            <w:tcMar>
              <w:top w:w="0" w:type="dxa"/>
              <w:bottom w:w="0" w:type="dxa"/>
            </w:tcMar>
            <w:vAlign w:val="center"/>
          </w:tcPr>
          <w:p w:rsidR="00565EAC" w:rsidRDefault="001F4708">
            <w:pPr>
              <w:keepNext/>
              <w:keepLines/>
              <w:spacing w:after="0" w:line="240" w:lineRule="auto"/>
              <w:jc w:val="right"/>
            </w:pPr>
            <w:r>
              <w:rPr>
                <w:sz w:val="18"/>
              </w:rPr>
              <w:t>0,00</w:t>
            </w:r>
          </w:p>
        </w:tc>
        <w:tc>
          <w:tcPr>
            <w:tcW w:w="1860" w:type="dxa"/>
            <w:tcMar>
              <w:top w:w="0" w:type="dxa"/>
              <w:bottom w:w="0" w:type="dxa"/>
            </w:tcMar>
            <w:vAlign w:val="center"/>
          </w:tcPr>
          <w:p w:rsidR="00565EAC" w:rsidRDefault="001F4708">
            <w:pPr>
              <w:keepNext/>
              <w:keepLines/>
              <w:spacing w:after="0" w:line="240" w:lineRule="auto"/>
              <w:jc w:val="right"/>
            </w:pPr>
            <w:r>
              <w:rPr>
                <w:sz w:val="18"/>
              </w:rPr>
              <w:t>34.278,89</w:t>
            </w:r>
          </w:p>
        </w:tc>
        <w:tc>
          <w:tcPr>
            <w:tcW w:w="700" w:type="dxa"/>
            <w:tcMar>
              <w:top w:w="0" w:type="dxa"/>
              <w:bottom w:w="0" w:type="dxa"/>
            </w:tcMar>
            <w:vAlign w:val="center"/>
          </w:tcPr>
          <w:p w:rsidR="00565EAC" w:rsidRDefault="001F4708">
            <w:pPr>
              <w:keepNext/>
              <w:keepLines/>
              <w:spacing w:after="0" w:line="240" w:lineRule="auto"/>
              <w:jc w:val="right"/>
            </w:pPr>
            <w:r>
              <w:rPr>
                <w:sz w:val="18"/>
              </w:rPr>
              <w:t>-</w:t>
            </w:r>
          </w:p>
        </w:tc>
      </w:tr>
    </w:tbl>
    <w:p w:rsidR="00565EAC" w:rsidRDefault="00565EAC">
      <w:pPr>
        <w:spacing w:after="0"/>
      </w:pPr>
    </w:p>
    <w:p w:rsidR="00565EAC" w:rsidRDefault="001F4708">
      <w:r>
        <w:t>Izdaci za financijsku imovinu i otplate zajmova šifra 5, a odnosi se na dio otplate primljenog kratkoročnog zajma.</w:t>
      </w:r>
    </w:p>
    <w:p w:rsidR="00565EAC" w:rsidRDefault="00565EAC"/>
    <w:p w:rsidR="00565EAC" w:rsidRDefault="001F4708">
      <w:pPr>
        <w:keepNext/>
        <w:spacing w:line="240" w:lineRule="auto"/>
        <w:jc w:val="center"/>
      </w:pPr>
      <w:r>
        <w:rPr>
          <w:b/>
          <w:sz w:val="28"/>
        </w:rPr>
        <w:lastRenderedPageBreak/>
        <w:t>Izvještaj o obvezama</w:t>
      </w:r>
    </w:p>
    <w:p w:rsidR="00565EAC" w:rsidRDefault="001F4708">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565EAC">
        <w:tblPrEx>
          <w:tblCellMar>
            <w:top w:w="0" w:type="dxa"/>
            <w:bottom w:w="0" w:type="dxa"/>
          </w:tblCellMar>
        </w:tblPrEx>
        <w:trPr>
          <w:cantSplit/>
        </w:trPr>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565EAC" w:rsidRDefault="001F4708">
            <w:pPr>
              <w:keepNext/>
              <w:keepLines/>
              <w:spacing w:after="0" w:line="240" w:lineRule="auto"/>
              <w:jc w:val="center"/>
            </w:pPr>
            <w:r>
              <w:rPr>
                <w:b/>
                <w:sz w:val="18"/>
              </w:rPr>
              <w:t>Indeks (%)</w:t>
            </w:r>
          </w:p>
        </w:tc>
      </w:tr>
      <w:tr w:rsidR="00565EAC">
        <w:tblPrEx>
          <w:tblCellMar>
            <w:top w:w="0" w:type="dxa"/>
            <w:bottom w:w="0" w:type="dxa"/>
          </w:tblCellMar>
        </w:tblPrEx>
        <w:trPr>
          <w:cantSplit/>
          <w:trHeight w:val="560"/>
        </w:trPr>
        <w:tc>
          <w:tcPr>
            <w:tcW w:w="700" w:type="dxa"/>
            <w:tcMar>
              <w:top w:w="0" w:type="dxa"/>
              <w:bottom w:w="0" w:type="dxa"/>
            </w:tcMar>
            <w:vAlign w:val="center"/>
          </w:tcPr>
          <w:p w:rsidR="00565EAC" w:rsidRDefault="00565EAC">
            <w:pPr>
              <w:keepNext/>
              <w:keepLines/>
              <w:spacing w:after="0" w:line="240" w:lineRule="auto"/>
            </w:pPr>
          </w:p>
        </w:tc>
        <w:tc>
          <w:tcPr>
            <w:tcW w:w="3180" w:type="dxa"/>
            <w:tcMar>
              <w:top w:w="0" w:type="dxa"/>
              <w:bottom w:w="0" w:type="dxa"/>
            </w:tcMar>
            <w:vAlign w:val="center"/>
          </w:tcPr>
          <w:p w:rsidR="00565EAC" w:rsidRDefault="001F4708">
            <w:pPr>
              <w:keepNext/>
              <w:keepLines/>
              <w:spacing w:after="0" w:line="240" w:lineRule="auto"/>
            </w:pPr>
            <w:r>
              <w:rPr>
                <w:sz w:val="18"/>
              </w:rPr>
              <w:t xml:space="preserve">Stanje dospjelih obveza na kraju izvještajnog </w:t>
            </w:r>
            <w:r>
              <w:rPr>
                <w:sz w:val="18"/>
              </w:rPr>
              <w:t>razdoblja (šifre V008+D23+D24 + 'D dio 25,26' + D27)</w:t>
            </w:r>
          </w:p>
        </w:tc>
        <w:tc>
          <w:tcPr>
            <w:tcW w:w="700" w:type="dxa"/>
            <w:tcMar>
              <w:top w:w="0" w:type="dxa"/>
              <w:bottom w:w="0" w:type="dxa"/>
            </w:tcMar>
            <w:vAlign w:val="center"/>
          </w:tcPr>
          <w:p w:rsidR="00565EAC" w:rsidRDefault="001F4708">
            <w:pPr>
              <w:keepNext/>
              <w:keepLines/>
              <w:spacing w:after="0" w:line="240" w:lineRule="auto"/>
            </w:pPr>
            <w:r>
              <w:rPr>
                <w:sz w:val="18"/>
              </w:rPr>
              <w:t>V007</w:t>
            </w:r>
          </w:p>
        </w:tc>
        <w:tc>
          <w:tcPr>
            <w:tcW w:w="1860" w:type="dxa"/>
            <w:tcMar>
              <w:top w:w="0" w:type="dxa"/>
              <w:bottom w:w="0" w:type="dxa"/>
            </w:tcMar>
            <w:vAlign w:val="center"/>
          </w:tcPr>
          <w:p w:rsidR="00565EAC" w:rsidRDefault="001F4708">
            <w:pPr>
              <w:keepNext/>
              <w:keepLines/>
              <w:spacing w:after="0" w:line="240" w:lineRule="auto"/>
              <w:jc w:val="right"/>
            </w:pPr>
            <w:r>
              <w:rPr>
                <w:sz w:val="18"/>
              </w:rPr>
              <w:t>134.100,52</w:t>
            </w:r>
          </w:p>
        </w:tc>
        <w:tc>
          <w:tcPr>
            <w:tcW w:w="700" w:type="dxa"/>
            <w:tcMar>
              <w:top w:w="0" w:type="dxa"/>
              <w:bottom w:w="0" w:type="dxa"/>
            </w:tcMar>
            <w:vAlign w:val="center"/>
          </w:tcPr>
          <w:p w:rsidR="00565EAC" w:rsidRDefault="001F4708">
            <w:pPr>
              <w:keepNext/>
              <w:keepLines/>
              <w:spacing w:after="0" w:line="240" w:lineRule="auto"/>
              <w:jc w:val="right"/>
            </w:pPr>
            <w:r>
              <w:rPr>
                <w:sz w:val="18"/>
              </w:rPr>
              <w:t>-</w:t>
            </w:r>
          </w:p>
        </w:tc>
      </w:tr>
    </w:tbl>
    <w:p w:rsidR="00565EAC" w:rsidRDefault="00565EAC">
      <w:pPr>
        <w:spacing w:after="0"/>
      </w:pPr>
    </w:p>
    <w:p w:rsidR="00565EAC" w:rsidRDefault="001F4708">
      <w:r>
        <w:t>Stanje dospjelih obveza na kraju izvještajnog razdoblja šifra V007 iznosi 134.100,52 eura, a odnosi se na projekt aglomeracije. Po završetku projekta početkom 2025. godine zaprimljen je završni obračun. Podmirenje navedenih obveza planirano je tijekom 2026</w:t>
      </w:r>
      <w:r>
        <w:t>. godine, po otklanjanju uočenih nedostataka. Očekuje se povrat sredstava od Koprivničko-križevačke županije za kapitalni projekt.</w:t>
      </w:r>
    </w:p>
    <w:p w:rsidR="00565EAC" w:rsidRDefault="00565EAC"/>
    <w:p w:rsidR="00565EAC" w:rsidRDefault="001F4708">
      <w:pPr>
        <w:keepNext/>
        <w:spacing w:line="240" w:lineRule="auto"/>
        <w:jc w:val="center"/>
      </w:pPr>
      <w:r>
        <w:rPr>
          <w:sz w:val="28"/>
        </w:rPr>
        <w:t>Bilješka 36.</w:t>
      </w:r>
    </w:p>
    <w:p w:rsidR="00565EAC" w:rsidRDefault="001F4708">
      <w:pPr>
        <w:spacing w:line="240" w:lineRule="auto"/>
        <w:jc w:val="both"/>
      </w:pPr>
      <w:r>
        <w:rPr>
          <w:b/>
        </w:rPr>
        <w:t>EU izvještaj</w:t>
      </w:r>
    </w:p>
    <w:p w:rsidR="00565EAC" w:rsidRDefault="001F4708">
      <w:r>
        <w:t xml:space="preserve">EU izvještaj podnesen je za izvor financiranja 563 – Europski fond za regionalni razvoj, a odnosi </w:t>
      </w:r>
      <w:r>
        <w:t xml:space="preserve">se na projekt ITU – „Sigurno povezani“, pri čemu je posredničko tijelo Ministarstvo regionalnoga razvoja i fondova Europske unije. Općina Peteranec je na navedenom projektu ostvarila bespovratna sredstva za izgradnju pješačke staze u </w:t>
      </w:r>
      <w:proofErr w:type="spellStart"/>
      <w:r>
        <w:t>Sigecu</w:t>
      </w:r>
      <w:proofErr w:type="spellEnd"/>
      <w:r>
        <w:t xml:space="preserve"> u ulicama I. </w:t>
      </w:r>
      <w:proofErr w:type="spellStart"/>
      <w:r>
        <w:t>Be</w:t>
      </w:r>
      <w:r>
        <w:t>rute</w:t>
      </w:r>
      <w:proofErr w:type="spellEnd"/>
      <w:r>
        <w:t xml:space="preserve"> i M. Gupca. Projekt je završen u posljednjem tromjesečju 2025. godine. Od strane kontrolnog tijela (SAFU) provedene su kontrole na licu mjesta kao i administrativne kontrole, nakon čega je u prosincu 2025. godine podnesen završni zahtjev za nadoknadom</w:t>
      </w:r>
      <w:r>
        <w:t xml:space="preserve"> sredstava (ZNS). Završni ZNS po projektu isplaćen je 09. ožujka 2026. godine, te su podmirene preostale obveze po privremenoj situaciji.</w:t>
      </w:r>
    </w:p>
    <w:p w:rsidR="00565EAC" w:rsidRDefault="00565EAC"/>
    <w:sectPr w:rsidR="00565E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EAC"/>
    <w:rsid w:val="001F4708"/>
    <w:rsid w:val="00565EA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781FD6-5BE9-44C5-B8E1-F7B412D55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2931</Words>
  <Characters>16712</Characters>
  <Application>Microsoft Office Word</Application>
  <DocSecurity>0</DocSecurity>
  <Lines>139</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Pročelnica</dc:creator>
  <cp:lastModifiedBy>Pročelnica</cp:lastModifiedBy>
  <cp:revision>2</cp:revision>
  <dcterms:created xsi:type="dcterms:W3CDTF">2026-04-10T12:12:00Z</dcterms:created>
  <dcterms:modified xsi:type="dcterms:W3CDTF">2026-04-10T12:12:00Z</dcterms:modified>
</cp:coreProperties>
</file>